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A3A5C" w:val="clear"/>
            <w:tcMar>
              <w:top w:type="dxa" w:w="200"/>
              <w:left w:type="dxa" w:w="300"/>
              <w:bottom w:type="dxa" w:w="200"/>
              <w:right w:type="dxa" w:w="300"/>
            </w:tcMar>
          </w:tcPr>
          <w:p>
            <w:pPr>
              <w:spacing w:after="40" w:before="80"/>
              <w:jc w:val="center"/>
            </w:pPr>
            <w:r>
              <w:rPr>
                <w:rFonts w:ascii="Arial" w:cs="Arial" w:eastAsia="Arial" w:hAnsi="Arial"/>
                <w:b/>
                <w:bCs/>
                <w:color w:val="FFFFFF"/>
                <w:sz w:val="28"/>
                <w:szCs w:val="28"/>
              </w:rPr>
              <w:t xml:space="preserve">GEHEIMHALTUNGSVEREINBARUNG</w:t>
            </w:r>
          </w:p>
          <w:p>
            <w:pPr>
              <w:spacing w:after="80" w:before="0"/>
              <w:jc w:val="center"/>
            </w:pPr>
            <w:r>
              <w:rPr>
                <w:rFonts w:ascii="Arial" w:cs="Arial" w:eastAsia="Arial" w:hAnsi="Arial"/>
                <w:color w:val="AACCEE"/>
                <w:sz w:val="21"/>
                <w:szCs w:val="21"/>
              </w:rPr>
              <w:t xml:space="preserve">Non-Disclosure Agreement (NDA)  ·  Bilateral</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22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color w:val="555555"/>
                <w:sz w:val="20"/>
                <w:szCs w:val="20"/>
              </w:rPr>
              <w:t xml:space="preserve">Datum</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C1C1C"/>
                <w:sz w:val="20"/>
                <w:szCs w:val="20"/>
              </w:rPr>
              <w:t xml:space="preserve">13. April 2026, Oberschleißheim</w:t>
            </w:r>
          </w:p>
        </w:tc>
      </w:tr>
      <w:tr>
        <w:tc>
          <w:tcPr>
            <w:tcW w:type="dxa" w:w="22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color w:val="555555"/>
                <w:sz w:val="20"/>
                <w:szCs w:val="20"/>
              </w:rPr>
              <w:t xml:space="preserve">Vertragsnummer</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color w:val="1C1C1C"/>
                <w:sz w:val="20"/>
                <w:szCs w:val="20"/>
              </w:rPr>
              <w:t xml:space="preserve">NDA-PT-BL-2026-001</w:t>
            </w:r>
          </w:p>
        </w:tc>
      </w:tr>
      <w:tr>
        <w:tc>
          <w:tcPr>
            <w:tcW w:type="dxa" w:w="2200"/>
            <w:tcBorders>
              <w:top w:val="single" w:color="CCCCCC" w:sz="1"/>
              <w:left w:val="single" w:color="CCCCCC" w:sz="1"/>
              <w:bottom w:val="single" w:color="CCCCCC" w:sz="1"/>
              <w:right w:val="single" w:color="CCCCCC" w:sz="1"/>
            </w:tcBorders>
            <w:shd w:fill="F0F4F8" w:val="clear"/>
            <w:tcMar>
              <w:top w:type="dxa" w:w="80"/>
              <w:left w:type="dxa" w:w="120"/>
              <w:bottom w:type="dxa" w:w="80"/>
              <w:right w:type="dxa" w:w="120"/>
            </w:tcMar>
          </w:tcPr>
          <w:p>
            <w:r>
              <w:rPr>
                <w:rFonts w:ascii="Arial" w:cs="Arial" w:eastAsia="Arial" w:hAnsi="Arial"/>
                <w:b/>
                <w:bCs/>
                <w:color w:val="555555"/>
                <w:sz w:val="20"/>
                <w:szCs w:val="20"/>
              </w:rPr>
              <w:t xml:space="preserve">Vertraulichkeit</w:t>
            </w:r>
          </w:p>
        </w:tc>
        <w:tc>
          <w:tcPr>
            <w:tcW w:type="dxa" w:w="71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bCs/>
                <w:color w:val="C0392B"/>
                <w:sz w:val="20"/>
                <w:szCs w:val="20"/>
              </w:rPr>
              <w:t xml:space="preserve">STRENG VERTRAULICH — nur für die unterzeichnenden Parteien</w:t>
            </w:r>
          </w:p>
        </w:tc>
      </w:tr>
    </w:tbl>
    <w:p>
      <w:pPr>
        <w:spacing w:after="60" w:before="60"/>
      </w:pPr>
      <w:r>
        <w:t xml:space="preserve"/>
      </w:r>
    </w:p>
    <w:p>
      <w:pPr>
        <w:pBdr>
          <w:bottom w:val="single" w:color="1A3A5C" w:sz="4" w:space="1"/>
        </w:pBdr>
        <w:spacing w:after="160" w:before="160"/>
      </w:pPr>
      <w:r>
        <w:t xml:space="preserve"/>
      </w:r>
    </w:p>
    <w:p>
      <w:pPr>
        <w:spacing w:after="100" w:before="280"/>
      </w:pPr>
      <w:r>
        <w:rPr>
          <w:rFonts w:ascii="Arial" w:cs="Arial" w:eastAsia="Arial" w:hAnsi="Arial"/>
          <w:b/>
          <w:bCs/>
          <w:color w:val="1A3A5C"/>
          <w:sz w:val="24"/>
          <w:szCs w:val="24"/>
        </w:rPr>
        <w:t xml:space="preserve">§ 1  </w:t>
      </w:r>
      <w:r>
        <w:rPr>
          <w:rFonts w:ascii="Arial" w:cs="Arial" w:eastAsia="Arial" w:hAnsi="Arial"/>
          <w:b/>
          <w:bCs/>
          <w:color w:val="1C1C1C"/>
          <w:sz w:val="24"/>
          <w:szCs w:val="24"/>
        </w:rPr>
        <w:t xml:space="preserve">Vertragsparteien</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4860"/>
      </w:tblGrid>
      <w:tr>
        <w:tc>
          <w:tcPr>
            <w:tcW w:type="dxa" w:w="4500"/>
            <w:tcBorders>
              <w:top w:val="none" w:color="FFFFFF" w:sz="0"/>
              <w:left w:val="none" w:color="FFFFFF" w:sz="0"/>
              <w:bottom w:val="none" w:color="FFFFFF" w:sz="0"/>
              <w:right w:val="none" w:color="FFFFFF" w:sz="0"/>
            </w:tcBorders>
          </w:tcPr>
          <w:p>
            <w:pPr>
              <w:spacing w:after="60" w:before="40"/>
            </w:pPr>
            <w:r>
              <w:rPr>
                <w:rFonts w:ascii="Arial" w:cs="Arial" w:eastAsia="Arial" w:hAnsi="Arial"/>
                <w:b/>
                <w:bCs/>
                <w:color w:val="1A3A5C"/>
                <w:sz w:val="20"/>
                <w:szCs w:val="20"/>
              </w:rPr>
              <w:t xml:space="preserve">Partei A — Offenlegender Teil:</w:t>
            </w:r>
          </w:p>
          <w:p>
            <w:pPr>
              <w:spacing w:after="20" w:before="20"/>
            </w:pPr>
            <w:r>
              <w:rPr>
                <w:rFonts w:ascii="Arial" w:cs="Arial" w:eastAsia="Arial" w:hAnsi="Arial"/>
                <w:b/>
                <w:bCs/>
                <w:color w:val="1C1C1C"/>
                <w:sz w:val="21"/>
                <w:szCs w:val="21"/>
              </w:rPr>
              <w:t xml:space="preserve">PRO TEMPRE – Wolfram Löbnitz</w:t>
            </w:r>
          </w:p>
          <w:p>
            <w:pPr>
              <w:spacing w:after="20" w:before="0"/>
            </w:pPr>
            <w:r>
              <w:rPr>
                <w:rFonts w:ascii="Arial" w:cs="Arial" w:eastAsia="Arial" w:hAnsi="Arial"/>
                <w:color w:val="555555"/>
                <w:sz w:val="20"/>
                <w:szCs w:val="20"/>
              </w:rPr>
              <w:t xml:space="preserve">Feuerbachstraße 11F (Haus 2)</w:t>
            </w:r>
          </w:p>
          <w:p>
            <w:pPr>
              <w:spacing w:after="20" w:before="0"/>
            </w:pPr>
            <w:r>
              <w:rPr>
                <w:rFonts w:ascii="Arial" w:cs="Arial" w:eastAsia="Arial" w:hAnsi="Arial"/>
                <w:color w:val="555555"/>
                <w:sz w:val="20"/>
                <w:szCs w:val="20"/>
              </w:rPr>
              <w:t xml:space="preserve">15370 Fredersdorf/b. Berlin</w:t>
            </w:r>
          </w:p>
          <w:p>
            <w:pPr>
              <w:spacing w:after="20" w:before="0"/>
            </w:pPr>
            <w:r>
              <w:rPr>
                <w:rFonts w:ascii="Arial" w:cs="Arial" w:eastAsia="Arial" w:hAnsi="Arial"/>
                <w:color w:val="555555"/>
                <w:sz w:val="20"/>
                <w:szCs w:val="20"/>
              </w:rPr>
              <w:t xml:space="preserve">Tel.: +49-(0)33439–14 44 08</w:t>
            </w:r>
          </w:p>
          <w:p>
            <w:pPr>
              <w:spacing w:after="20" w:before="0"/>
            </w:pPr>
            <w:r>
              <w:rPr>
                <w:rFonts w:ascii="Arial" w:cs="Arial" w:eastAsia="Arial" w:hAnsi="Arial"/>
                <w:color w:val="555555"/>
                <w:sz w:val="20"/>
                <w:szCs w:val="20"/>
              </w:rPr>
              <w:t xml:space="preserve">wolfram.loebnitz@protempre.com</w:t>
            </w:r>
          </w:p>
          <w:p>
            <w:pPr>
              <w:spacing w:after="40" w:before="0"/>
            </w:pPr>
            <w:r>
              <w:rPr>
                <w:rFonts w:ascii="Arial" w:cs="Arial" w:eastAsia="Arial" w:hAnsi="Arial"/>
                <w:color w:val="888888"/>
                <w:sz w:val="20"/>
                <w:szCs w:val="20"/>
              </w:rPr>
              <w:t xml:space="preserve">(nachfolgend: PRO TEMPRE)</w:t>
            </w:r>
          </w:p>
        </w:tc>
        <w:tc>
          <w:tcPr>
            <w:tcW w:type="dxa" w:w="4860"/>
            <w:tcBorders>
              <w:top w:val="none" w:color="FFFFFF" w:sz="0"/>
              <w:left w:val="none" w:color="FFFFFF" w:sz="0"/>
              <w:bottom w:val="none" w:color="FFFFFF" w:sz="0"/>
              <w:right w:val="none" w:color="FFFFFF" w:sz="0"/>
            </w:tcBorders>
          </w:tcPr>
          <w:p>
            <w:pPr>
              <w:spacing w:after="60" w:before="40"/>
            </w:pPr>
            <w:r>
              <w:rPr>
                <w:rFonts w:ascii="Arial" w:cs="Arial" w:eastAsia="Arial" w:hAnsi="Arial"/>
                <w:b/>
                <w:bCs/>
                <w:color w:val="1A3A5C"/>
                <w:sz w:val="20"/>
                <w:szCs w:val="20"/>
              </w:rPr>
              <w:t xml:space="preserve">Partei B — Empfangender Teil:</w:t>
            </w:r>
          </w:p>
          <w:p>
            <w:pPr>
              <w:spacing w:after="20" w:before="20"/>
            </w:pPr>
            <w:r>
              <w:rPr>
                <w:rFonts w:ascii="Arial" w:cs="Arial" w:eastAsia="Arial" w:hAnsi="Arial"/>
                <w:b/>
                <w:bCs/>
                <w:color w:val="1C1C1C"/>
                <w:sz w:val="21"/>
                <w:szCs w:val="21"/>
              </w:rPr>
              <w:t xml:space="preserve">beauty lumis GmbH</w:t>
            </w:r>
          </w:p>
          <w:p>
            <w:pPr>
              <w:spacing w:after="20" w:before="0"/>
            </w:pPr>
            <w:r>
              <w:rPr>
                <w:rFonts w:ascii="Arial" w:cs="Arial" w:eastAsia="Arial" w:hAnsi="Arial"/>
                <w:color w:val="555555"/>
                <w:sz w:val="20"/>
                <w:szCs w:val="20"/>
              </w:rPr>
              <w:t xml:space="preserve">Bruckmannring 38</w:t>
            </w:r>
          </w:p>
          <w:p>
            <w:pPr>
              <w:spacing w:after="20" w:before="0"/>
            </w:pPr>
            <w:r>
              <w:rPr>
                <w:rFonts w:ascii="Arial" w:cs="Arial" w:eastAsia="Arial" w:hAnsi="Arial"/>
                <w:color w:val="555555"/>
                <w:sz w:val="20"/>
                <w:szCs w:val="20"/>
              </w:rPr>
              <w:t xml:space="preserve">85764 Oberschleißheim</w:t>
            </w:r>
          </w:p>
          <w:p>
            <w:pPr>
              <w:spacing w:after="20" w:before="0"/>
            </w:pPr>
            <w:r>
              <w:rPr>
                <w:rFonts w:ascii="Arial" w:cs="Arial" w:eastAsia="Arial" w:hAnsi="Arial"/>
                <w:color w:val="555555"/>
                <w:sz w:val="20"/>
                <w:szCs w:val="20"/>
              </w:rPr>
              <w:t xml:space="preserve">HRB 104505 / AG München</w:t>
            </w:r>
          </w:p>
          <w:p>
            <w:pPr>
              <w:spacing w:after="20" w:before="0"/>
            </w:pPr>
            <w:r>
              <w:rPr>
                <w:rFonts w:ascii="Arial" w:cs="Arial" w:eastAsia="Arial" w:hAnsi="Arial"/>
                <w:color w:val="555555"/>
                <w:sz w:val="20"/>
                <w:szCs w:val="20"/>
              </w:rPr>
              <w:t xml:space="preserve">Geschäftsführung: Angela Frommer</w:t>
            </w:r>
          </w:p>
          <w:p>
            <w:pPr>
              <w:spacing w:after="40" w:before="0"/>
            </w:pPr>
            <w:r>
              <w:rPr>
                <w:rFonts w:ascii="Arial" w:cs="Arial" w:eastAsia="Arial" w:hAnsi="Arial"/>
                <w:color w:val="888888"/>
                <w:sz w:val="20"/>
                <w:szCs w:val="20"/>
              </w:rPr>
              <w:t xml:space="preserve">(nachfolgend: beauty lumis)</w:t>
            </w:r>
          </w:p>
        </w:tc>
      </w:tr>
    </w:tbl>
    <w:p>
      <w:pPr>
        <w:spacing w:after="60" w:before="60"/>
      </w:pPr>
      <w:r>
        <w:t xml:space="preserve"/>
      </w:r>
    </w:p>
    <w:p>
      <w:pPr>
        <w:spacing w:after="80" w:before="80"/>
        <w:jc w:val="left"/>
      </w:pPr>
      <w:r>
        <w:rPr>
          <w:rFonts w:ascii="Arial" w:cs="Arial" w:eastAsia="Arial" w:hAnsi="Arial"/>
          <w:b w:val="false"/>
          <w:bCs w:val="false"/>
          <w:color w:val="555555"/>
          <w:sz w:val="20"/>
          <w:szCs w:val="20"/>
        </w:rPr>
        <w:t xml:space="preserve">PRO TEMPRE und beauty lumis werden gemeinsam als die Parteien bezeichnet. Diese Vereinbarung gilt wechselseitig — beide Parteien können zugleich offenlegende und empfangende Partei sein.</w:t>
      </w:r>
    </w:p>
    <w:p>
      <w:pPr>
        <w:pBdr>
          <w:bottom w:val="single" w:color="1A3A5C" w:sz="4" w:space="1"/>
        </w:pBdr>
        <w:spacing w:after="160" w:before="160"/>
      </w:pPr>
      <w:r>
        <w:t xml:space="preserve"/>
      </w:r>
    </w:p>
    <w:p>
      <w:pPr>
        <w:spacing w:after="100" w:before="280"/>
      </w:pPr>
      <w:r>
        <w:rPr>
          <w:rFonts w:ascii="Arial" w:cs="Arial" w:eastAsia="Arial" w:hAnsi="Arial"/>
          <w:b/>
          <w:bCs/>
          <w:color w:val="1A3A5C"/>
          <w:sz w:val="24"/>
          <w:szCs w:val="24"/>
        </w:rPr>
        <w:t xml:space="preserve">§ 2  </w:t>
      </w:r>
      <w:r>
        <w:rPr>
          <w:rFonts w:ascii="Arial" w:cs="Arial" w:eastAsia="Arial" w:hAnsi="Arial"/>
          <w:b/>
          <w:bCs/>
          <w:color w:val="1C1C1C"/>
          <w:sz w:val="24"/>
          <w:szCs w:val="24"/>
        </w:rPr>
        <w:t xml:space="preserve">Zweck der Vereinbarung</w:t>
      </w:r>
    </w:p>
    <w:p>
      <w:pPr>
        <w:spacing w:after="0" w:before="0"/>
      </w:pPr>
      <w:r>
        <w:t xml:space="preserve"/>
      </w:r>
    </w:p>
    <w:p>
      <w:pPr>
        <w:spacing w:after="80" w:before="80"/>
        <w:jc w:val="left"/>
      </w:pPr>
      <w:r>
        <w:rPr>
          <w:rFonts w:ascii="Arial" w:cs="Arial" w:eastAsia="Arial" w:hAnsi="Arial"/>
          <w:b w:val="false"/>
          <w:bCs w:val="false"/>
          <w:color w:val="1C1C1C"/>
          <w:sz w:val="22"/>
          <w:szCs w:val="22"/>
        </w:rPr>
        <w:t xml:space="preserve">Die Parteien beabsichtigen, gemeinsam folgende Entwicklungspotenziale zu evaluieren, zu konzipieren und ggf. zur Marktreife zu führen:</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4FC" w:val="clear"/>
            <w:tcMar>
              <w:top w:type="dxa" w:w="120"/>
              <w:left w:type="dxa" w:w="160"/>
              <w:bottom w:type="dxa" w:w="120"/>
              <w:right w:type="dxa" w:w="160"/>
            </w:tcMar>
          </w:tcPr>
          <w:p>
            <w:pPr>
              <w:spacing w:after="60" w:before="40"/>
            </w:pPr>
            <w:r>
              <w:rPr>
                <w:rFonts w:ascii="Arial" w:cs="Arial" w:eastAsia="Arial" w:hAnsi="Arial"/>
                <w:b/>
                <w:bCs/>
                <w:color w:val="1A3A5C"/>
                <w:sz w:val="21"/>
                <w:szCs w:val="21"/>
              </w:rPr>
              <w:t xml:space="preserve">Entwicklungspotenzial 1 — FreqPress® Suit</w:t>
            </w:r>
          </w:p>
          <w:p>
            <w:pPr>
              <w:spacing w:after="40" w:before="0"/>
            </w:pPr>
            <w:r>
              <w:rPr>
                <w:rFonts w:ascii="Arial" w:cs="Arial" w:eastAsia="Arial" w:hAnsi="Arial"/>
                <w:color w:val="1C1C1C"/>
                <w:sz w:val="20"/>
                <w:szCs w:val="20"/>
              </w:rPr>
              <w:t xml:space="preserve">Konzept eines tragbaren Ganzkörper-Therapiesystems, das einen pneumatischen Kompressionsanzug (Pressotherapie) mit einem integrierten Array aus flexiblen PEMF-Flachspulen (Pulsed Electromagnetic Field) kombiniert. Die Flachspulen sind organtopografisch in definierten Körperzonen positioniert und mit organspezifischen Therapiefrequenzen programmiert. Kompressionszyklus und Frequenzimpuls werden algorithmisch synchronisiert (FreqPulse™-Algorithmus). Arbeitstitel: FreqPress® Suit.</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AF1" w:val="clear"/>
            <w:tcMar>
              <w:top w:type="dxa" w:w="120"/>
              <w:left w:type="dxa" w:w="160"/>
              <w:bottom w:type="dxa" w:w="120"/>
              <w:right w:type="dxa" w:w="160"/>
            </w:tcMar>
          </w:tcPr>
          <w:p>
            <w:pPr>
              <w:spacing w:after="60" w:before="40"/>
            </w:pPr>
            <w:r>
              <w:rPr>
                <w:rFonts w:ascii="Arial" w:cs="Arial" w:eastAsia="Arial" w:hAnsi="Arial"/>
                <w:b/>
                <w:bCs/>
                <w:color w:val="2A7A44"/>
                <w:sz w:val="21"/>
                <w:szCs w:val="21"/>
              </w:rPr>
              <w:t xml:space="preserve">Entwicklungspotenzial 2 — SmartPresso® Vascular Mapping</w:t>
            </w:r>
          </w:p>
          <w:p>
            <w:pPr>
              <w:spacing w:after="40" w:before="0"/>
            </w:pPr>
            <w:r>
              <w:rPr>
                <w:rFonts w:ascii="Arial" w:cs="Arial" w:eastAsia="Arial" w:hAnsi="Arial"/>
                <w:color w:val="1C1C1C"/>
                <w:sz w:val="20"/>
                <w:szCs w:val="20"/>
              </w:rPr>
              <w:t xml:space="preserve">Konzept der simultanen Mehrpunkt-Blutdruckmessung über die bestehenden Druckkammern eines Pressotherapie-Anzugs auf Basis des Oszillometrie-Prinzips. Jede Kammer fungiert dabei sowohl als Therapieaktor als auch als Drucksensor. Ziel ist die Erstellung einer vollständigen vaskulären Körperdruckkarte in Echtzeit, kombiniert mit KI-gestützter Auswertung und adaptiver Behandlungssteuerung. Arbeitstitel: SmartPresso® Vascular Mapping System.</w:t>
            </w:r>
          </w:p>
        </w:tc>
      </w:tr>
    </w:tbl>
    <w:p>
      <w:pPr>
        <w:spacing w:after="60" w:before="60"/>
      </w:pPr>
      <w:r>
        <w:t xml:space="preserve"/>
      </w:r>
    </w:p>
    <w:p>
      <w:pPr>
        <w:spacing w:after="80" w:before="80"/>
        <w:jc w:val="left"/>
      </w:pPr>
      <w:r>
        <w:rPr>
          <w:rFonts w:ascii="Arial" w:cs="Arial" w:eastAsia="Arial" w:hAnsi="Arial"/>
          <w:b w:val="false"/>
          <w:bCs w:val="false"/>
          <w:color w:val="555555"/>
          <w:sz w:val="20"/>
          <w:szCs w:val="20"/>
        </w:rPr>
        <w:t xml:space="preserve">Für den Zweck der gemeinsamen Evaluierung dieser Entwicklungspotenziale werden vertrauliche Informationen ausgetauscht. Diese Vereinbarung regelt den Schutz dieser Informationen.</w:t>
      </w:r>
    </w:p>
    <w:p>
      <w:pPr>
        <w:pBdr>
          <w:bottom w:val="single" w:color="1A3A5C" w:sz="4" w:space="1"/>
        </w:pBdr>
        <w:spacing w:after="160" w:before="160"/>
      </w:pPr>
      <w:r>
        <w:t xml:space="preserve"/>
      </w:r>
    </w:p>
    <w:p>
      <w:pPr>
        <w:spacing w:after="100" w:before="280"/>
      </w:pPr>
      <w:r>
        <w:rPr>
          <w:rFonts w:ascii="Arial" w:cs="Arial" w:eastAsia="Arial" w:hAnsi="Arial"/>
          <w:b/>
          <w:bCs/>
          <w:color w:val="1A3A5C"/>
          <w:sz w:val="24"/>
          <w:szCs w:val="24"/>
        </w:rPr>
        <w:t xml:space="preserve">§ 3  </w:t>
      </w:r>
      <w:r>
        <w:rPr>
          <w:rFonts w:ascii="Arial" w:cs="Arial" w:eastAsia="Arial" w:hAnsi="Arial"/>
          <w:b/>
          <w:bCs/>
          <w:color w:val="1C1C1C"/>
          <w:sz w:val="24"/>
          <w:szCs w:val="24"/>
        </w:rPr>
        <w:t xml:space="preserve">Definition vertraulicher Informationen</w:t>
      </w:r>
    </w:p>
    <w:p>
      <w:pPr>
        <w:spacing w:after="80" w:before="80"/>
        <w:jc w:val="left"/>
      </w:pPr>
      <w:r>
        <w:rPr>
          <w:rFonts w:ascii="Arial" w:cs="Arial" w:eastAsia="Arial" w:hAnsi="Arial"/>
          <w:b w:val="false"/>
          <w:bCs w:val="false"/>
          <w:color w:val="1C1C1C"/>
          <w:sz w:val="22"/>
          <w:szCs w:val="22"/>
        </w:rPr>
        <w:t xml:space="preserve">Als vertrauliche Informationen gelten im Sinne dieser Vereinbarung alle Informationen, die eine Partei der anderen im Zusammenhang mit den in § 2 genannten Entwicklungspotenzialen offenlegt, insbesondere:</w:t>
      </w:r>
    </w:p>
    <w:p>
      <w:pPr>
        <w:spacing w:after="60" w:before="60"/>
      </w:pPr>
      <w:r>
        <w:t xml:space="preserve"/>
      </w:r>
    </w:p>
    <w:p>
      <w:pPr>
        <w:pStyle w:val="ListParagraph"/>
        <w:numPr>
          <w:ilvl w:val="0"/>
          <w:numId w:val="2"/>
        </w:numPr>
        <w:spacing w:after="40" w:before="40"/>
      </w:pPr>
      <w:r>
        <w:rPr>
          <w:rFonts w:ascii="Arial" w:cs="Arial" w:eastAsia="Arial" w:hAnsi="Arial"/>
          <w:color w:val="1C1C1C"/>
          <w:sz w:val="21"/>
          <w:szCs w:val="21"/>
        </w:rPr>
        <w:t xml:space="preserve">Technische Konzepte, Erfindungen, Entwürfe, Prototypen, Algorithmen und Spezifikationen</w:t>
      </w:r>
    </w:p>
    <w:p>
      <w:pPr>
        <w:pStyle w:val="ListParagraph"/>
        <w:numPr>
          <w:ilvl w:val="0"/>
          <w:numId w:val="2"/>
        </w:numPr>
        <w:spacing w:after="40" w:before="40"/>
      </w:pPr>
      <w:r>
        <w:rPr>
          <w:rFonts w:ascii="Arial" w:cs="Arial" w:eastAsia="Arial" w:hAnsi="Arial"/>
          <w:color w:val="1C1C1C"/>
          <w:sz w:val="21"/>
          <w:szCs w:val="21"/>
        </w:rPr>
        <w:t xml:space="preserve">Patentanmeldungen, Gebrauchsmuster, Schutzrechtsstrategien sowie nicht angemeldete Erfindungsideen</w:t>
      </w:r>
    </w:p>
    <w:p>
      <w:pPr>
        <w:pStyle w:val="ListParagraph"/>
        <w:numPr>
          <w:ilvl w:val="0"/>
          <w:numId w:val="2"/>
        </w:numPr>
        <w:spacing w:after="40" w:before="40"/>
      </w:pPr>
      <w:r>
        <w:rPr>
          <w:rFonts w:ascii="Arial" w:cs="Arial" w:eastAsia="Arial" w:hAnsi="Arial"/>
          <w:color w:val="1C1C1C"/>
          <w:sz w:val="21"/>
          <w:szCs w:val="21"/>
        </w:rPr>
        <w:t xml:space="preserve">Geschäftsstrategien, Marktanalysen, Vertriebskonzepte und Preiskalkulationen</w:t>
      </w:r>
    </w:p>
    <w:p>
      <w:pPr>
        <w:pStyle w:val="ListParagraph"/>
        <w:numPr>
          <w:ilvl w:val="0"/>
          <w:numId w:val="2"/>
        </w:numPr>
        <w:spacing w:after="40" w:before="40"/>
      </w:pPr>
      <w:r>
        <w:rPr>
          <w:rFonts w:ascii="Arial" w:cs="Arial" w:eastAsia="Arial" w:hAnsi="Arial"/>
          <w:color w:val="1C1C1C"/>
          <w:sz w:val="21"/>
          <w:szCs w:val="21"/>
        </w:rPr>
        <w:t xml:space="preserve">Informationen über bestehende Produkte, Herstellungsverfahren und technisches Know-how</w:t>
      </w:r>
    </w:p>
    <w:p>
      <w:pPr>
        <w:pStyle w:val="ListParagraph"/>
        <w:numPr>
          <w:ilvl w:val="0"/>
          <w:numId w:val="2"/>
        </w:numPr>
        <w:spacing w:after="40" w:before="40"/>
      </w:pPr>
      <w:r>
        <w:rPr>
          <w:rFonts w:ascii="Arial" w:cs="Arial" w:eastAsia="Arial" w:hAnsi="Arial"/>
          <w:color w:val="1C1C1C"/>
          <w:sz w:val="21"/>
          <w:szCs w:val="21"/>
        </w:rPr>
        <w:t xml:space="preserve">Kooperationspartner, Lieferanten, Kundenbeziehungen und Finanzierungsquellen</w:t>
      </w:r>
    </w:p>
    <w:p>
      <w:pPr>
        <w:pStyle w:val="ListParagraph"/>
        <w:numPr>
          <w:ilvl w:val="0"/>
          <w:numId w:val="2"/>
        </w:numPr>
        <w:spacing w:after="40" w:before="40"/>
      </w:pPr>
      <w:r>
        <w:rPr>
          <w:rFonts w:ascii="Arial" w:cs="Arial" w:eastAsia="Arial" w:hAnsi="Arial"/>
          <w:color w:val="1C1C1C"/>
          <w:sz w:val="21"/>
          <w:szCs w:val="21"/>
        </w:rPr>
        <w:t xml:space="preserve">Alle im Rahmen von Gesprächen, Präsentationen, Dokumenten oder digitalen Medien übermittelten Inhalte</w:t>
      </w:r>
    </w:p>
    <w:p>
      <w:pPr>
        <w:spacing w:after="60" w:before="60"/>
      </w:pPr>
      <w:r>
        <w:t xml:space="preserve"/>
      </w:r>
    </w:p>
    <w:p>
      <w:pPr>
        <w:spacing w:after="80" w:before="80"/>
        <w:jc w:val="left"/>
      </w:pPr>
      <w:r>
        <w:rPr>
          <w:rFonts w:ascii="Arial" w:cs="Arial" w:eastAsia="Arial" w:hAnsi="Arial"/>
          <w:b w:val="false"/>
          <w:bCs w:val="false"/>
          <w:color w:val="555555"/>
          <w:sz w:val="20"/>
          <w:szCs w:val="20"/>
        </w:rPr>
        <w:t xml:space="preserve">Als vertraulich gelten auch Informationen, die mündlich übermittelt wurden, sofern die offenlegende Partei auf den vertraulichen Charakter hingewiesen hat.</w:t>
      </w:r>
    </w:p>
    <w:p>
      <w:pPr>
        <w:pBdr>
          <w:bottom w:val="single" w:color="1A3A5C" w:sz="4" w:space="1"/>
        </w:pBdr>
        <w:spacing w:after="160" w:before="160"/>
      </w:pPr>
      <w:r>
        <w:t xml:space="preserve"/>
      </w:r>
    </w:p>
    <w:p>
      <w:pPr>
        <w:spacing w:after="100" w:before="280"/>
      </w:pPr>
      <w:r>
        <w:rPr>
          <w:rFonts w:ascii="Arial" w:cs="Arial" w:eastAsia="Arial" w:hAnsi="Arial"/>
          <w:b/>
          <w:bCs/>
          <w:color w:val="1A3A5C"/>
          <w:sz w:val="24"/>
          <w:szCs w:val="24"/>
        </w:rPr>
        <w:t xml:space="preserve">§ 4  </w:t>
      </w:r>
      <w:r>
        <w:rPr>
          <w:rFonts w:ascii="Arial" w:cs="Arial" w:eastAsia="Arial" w:hAnsi="Arial"/>
          <w:b/>
          <w:bCs/>
          <w:color w:val="1C1C1C"/>
          <w:sz w:val="24"/>
          <w:szCs w:val="24"/>
        </w:rPr>
        <w:t xml:space="preserve">Vertraulichkeitspflichten</w:t>
      </w:r>
    </w:p>
    <w:p>
      <w:pPr>
        <w:spacing w:after="80" w:before="80"/>
        <w:jc w:val="left"/>
      </w:pPr>
      <w:r>
        <w:rPr>
          <w:rFonts w:ascii="Arial" w:cs="Arial" w:eastAsia="Arial" w:hAnsi="Arial"/>
          <w:b w:val="false"/>
          <w:bCs w:val="false"/>
          <w:color w:val="1C1C1C"/>
          <w:sz w:val="22"/>
          <w:szCs w:val="22"/>
        </w:rPr>
        <w:t xml:space="preserve">Jede empfangende Partei verpflichtet sich:</w:t>
      </w:r>
    </w:p>
    <w:p>
      <w:pPr>
        <w:spacing w:after="60" w:before="60"/>
      </w:pPr>
      <w:r>
        <w:t xml:space="preserve"/>
      </w:r>
    </w:p>
    <w:p>
      <w:pPr>
        <w:pStyle w:val="ListParagraph"/>
        <w:numPr>
          <w:ilvl w:val="0"/>
          <w:numId w:val="2"/>
        </w:numPr>
        <w:spacing w:after="40" w:before="40"/>
      </w:pPr>
      <w:r>
        <w:rPr>
          <w:rFonts w:ascii="Arial" w:cs="Arial" w:eastAsia="Arial" w:hAnsi="Arial"/>
          <w:color w:val="1C1C1C"/>
          <w:sz w:val="21"/>
          <w:szCs w:val="21"/>
        </w:rPr>
        <w:t xml:space="preserve">Die vertraulichen Informationen streng vertraulich zu behandeln und mit mindestens der gleichen Sorgfalt zu schützen wie eigene vertrauliche Informationen, mindestens jedoch mit angemessener Sorgfalt.</w:t>
      </w:r>
    </w:p>
    <w:p>
      <w:pPr>
        <w:pStyle w:val="ListParagraph"/>
        <w:numPr>
          <w:ilvl w:val="0"/>
          <w:numId w:val="2"/>
        </w:numPr>
        <w:spacing w:after="40" w:before="40"/>
      </w:pPr>
      <w:r>
        <w:rPr>
          <w:rFonts w:ascii="Arial" w:cs="Arial" w:eastAsia="Arial" w:hAnsi="Arial"/>
          <w:color w:val="1C1C1C"/>
          <w:sz w:val="21"/>
          <w:szCs w:val="21"/>
        </w:rPr>
        <w:t xml:space="preserve">Die vertraulichen Informationen ausschließlich für den in § 2 genannten Zweck zu verwenden.</w:t>
      </w:r>
    </w:p>
    <w:p>
      <w:pPr>
        <w:pStyle w:val="ListParagraph"/>
        <w:numPr>
          <w:ilvl w:val="0"/>
          <w:numId w:val="2"/>
        </w:numPr>
        <w:spacing w:after="40" w:before="40"/>
      </w:pPr>
      <w:r>
        <w:rPr>
          <w:rFonts w:ascii="Arial" w:cs="Arial" w:eastAsia="Arial" w:hAnsi="Arial"/>
          <w:color w:val="1C1C1C"/>
          <w:sz w:val="21"/>
          <w:szCs w:val="21"/>
        </w:rPr>
        <w:t xml:space="preserve">Die vertraulichen Informationen ohne vorherige schriftliche Zustimmung der offenlegenden Partei weder ganz noch teilweise an Dritte weiterzugeben, zu veröffentlichen oder zugänglich zu machen.</w:t>
      </w:r>
    </w:p>
    <w:p>
      <w:pPr>
        <w:pStyle w:val="ListParagraph"/>
        <w:numPr>
          <w:ilvl w:val="0"/>
          <w:numId w:val="2"/>
        </w:numPr>
        <w:spacing w:after="40" w:before="40"/>
      </w:pPr>
      <w:r>
        <w:rPr>
          <w:rFonts w:ascii="Arial" w:cs="Arial" w:eastAsia="Arial" w:hAnsi="Arial"/>
          <w:color w:val="1C1C1C"/>
          <w:sz w:val="21"/>
          <w:szCs w:val="21"/>
        </w:rPr>
        <w:t xml:space="preserve">Den Zugang zu vertraulichen Informationen auf Personen zu beschränken, die diese für den Vereinbarungszweck zwingend benötigen, und auch diese Personen zur Vertraulichkeit zu verpflichten.</w:t>
      </w:r>
    </w:p>
    <w:p>
      <w:pPr>
        <w:pStyle w:val="ListParagraph"/>
        <w:numPr>
          <w:ilvl w:val="0"/>
          <w:numId w:val="2"/>
        </w:numPr>
        <w:spacing w:after="40" w:before="40"/>
      </w:pPr>
      <w:r>
        <w:rPr>
          <w:rFonts w:ascii="Arial" w:cs="Arial" w:eastAsia="Arial" w:hAnsi="Arial"/>
          <w:color w:val="1C1C1C"/>
          <w:sz w:val="21"/>
          <w:szCs w:val="21"/>
        </w:rPr>
        <w:t xml:space="preserve">Keine Patente, Gebrauchsmuster, Marken oder sonstige Schutzrechte für die erhaltenen vertraulichen Informationen oder daraus abgeleitete Entwicklungen anzumelden, ohne ausdrückliche schriftliche Zustimmung der offenlegenden Partei.</w:t>
      </w:r>
    </w:p>
    <w:p>
      <w:pPr>
        <w:pStyle w:val="ListParagraph"/>
        <w:numPr>
          <w:ilvl w:val="0"/>
          <w:numId w:val="2"/>
        </w:numPr>
        <w:spacing w:after="40" w:before="40"/>
      </w:pPr>
      <w:r>
        <w:rPr>
          <w:rFonts w:ascii="Arial" w:cs="Arial" w:eastAsia="Arial" w:hAnsi="Arial"/>
          <w:color w:val="1C1C1C"/>
          <w:sz w:val="21"/>
          <w:szCs w:val="21"/>
        </w:rPr>
        <w:t xml:space="preserve">Alle erhaltenen vertraulichen Informationen auf Verlangen der offenlegenden Partei unverzüglich zurückzugeben oder datenschutzkonform zu vernichten.</w:t>
      </w:r>
    </w:p>
    <w:p>
      <w:pPr>
        <w:pBdr>
          <w:bottom w:val="single" w:color="1A3A5C" w:sz="4" w:space="1"/>
        </w:pBdr>
        <w:spacing w:after="160" w:before="160"/>
      </w:pPr>
      <w:r>
        <w:t xml:space="preserve"/>
      </w:r>
    </w:p>
    <w:p>
      <w:pPr>
        <w:spacing w:after="100" w:before="280"/>
      </w:pPr>
      <w:r>
        <w:rPr>
          <w:rFonts w:ascii="Arial" w:cs="Arial" w:eastAsia="Arial" w:hAnsi="Arial"/>
          <w:b/>
          <w:bCs/>
          <w:color w:val="1A3A5C"/>
          <w:sz w:val="24"/>
          <w:szCs w:val="24"/>
        </w:rPr>
        <w:t xml:space="preserve">§ 5  </w:t>
      </w:r>
      <w:r>
        <w:rPr>
          <w:rFonts w:ascii="Arial" w:cs="Arial" w:eastAsia="Arial" w:hAnsi="Arial"/>
          <w:b/>
          <w:bCs/>
          <w:color w:val="1C1C1C"/>
          <w:sz w:val="24"/>
          <w:szCs w:val="24"/>
        </w:rPr>
        <w:t xml:space="preserve">Ausnahmen von der Geheimhaltungspflicht</w:t>
      </w:r>
    </w:p>
    <w:p>
      <w:pPr>
        <w:spacing w:after="80" w:before="80"/>
        <w:jc w:val="left"/>
      </w:pPr>
      <w:r>
        <w:rPr>
          <w:rFonts w:ascii="Arial" w:cs="Arial" w:eastAsia="Arial" w:hAnsi="Arial"/>
          <w:b w:val="false"/>
          <w:bCs w:val="false"/>
          <w:color w:val="1C1C1C"/>
          <w:sz w:val="22"/>
          <w:szCs w:val="22"/>
        </w:rPr>
        <w:t xml:space="preserve">Die Geheimhaltungspflicht gilt nicht für Informationen, die die empfangende Partei nachweislich:</w:t>
      </w:r>
    </w:p>
    <w:p>
      <w:pPr>
        <w:spacing w:after="60" w:before="60"/>
      </w:pPr>
      <w:r>
        <w:t xml:space="preserve"/>
      </w:r>
    </w:p>
    <w:p>
      <w:pPr>
        <w:pStyle w:val="ListParagraph"/>
        <w:numPr>
          <w:ilvl w:val="0"/>
          <w:numId w:val="2"/>
        </w:numPr>
        <w:spacing w:after="40" w:before="40"/>
      </w:pPr>
      <w:r>
        <w:rPr>
          <w:rFonts w:ascii="Arial" w:cs="Arial" w:eastAsia="Arial" w:hAnsi="Arial"/>
          <w:color w:val="1C1C1C"/>
          <w:sz w:val="21"/>
          <w:szCs w:val="21"/>
        </w:rPr>
        <w:t xml:space="preserve">Zum Zeitpunkt der Offenlegung bereits rechtmäßig kannte und dies schriftlich belegen kann;</w:t>
      </w:r>
    </w:p>
    <w:p>
      <w:pPr>
        <w:pStyle w:val="ListParagraph"/>
        <w:numPr>
          <w:ilvl w:val="0"/>
          <w:numId w:val="2"/>
        </w:numPr>
        <w:spacing w:after="40" w:before="40"/>
      </w:pPr>
      <w:r>
        <w:rPr>
          <w:rFonts w:ascii="Arial" w:cs="Arial" w:eastAsia="Arial" w:hAnsi="Arial"/>
          <w:color w:val="1C1C1C"/>
          <w:sz w:val="21"/>
          <w:szCs w:val="21"/>
        </w:rPr>
        <w:t xml:space="preserve">Unabhängig und ohne Verwendung der vertraulichen Informationen eigenständig entwickelt hat;</w:t>
      </w:r>
    </w:p>
    <w:p>
      <w:pPr>
        <w:pStyle w:val="ListParagraph"/>
        <w:numPr>
          <w:ilvl w:val="0"/>
          <w:numId w:val="2"/>
        </w:numPr>
        <w:spacing w:after="40" w:before="40"/>
      </w:pPr>
      <w:r>
        <w:rPr>
          <w:rFonts w:ascii="Arial" w:cs="Arial" w:eastAsia="Arial" w:hAnsi="Arial"/>
          <w:color w:val="1C1C1C"/>
          <w:sz w:val="21"/>
          <w:szCs w:val="21"/>
        </w:rPr>
        <w:t xml:space="preserve">Von einem berechtigten Dritten ohne Geheimhaltungsbindung erhalten hat;</w:t>
      </w:r>
    </w:p>
    <w:p>
      <w:pPr>
        <w:pStyle w:val="ListParagraph"/>
        <w:numPr>
          <w:ilvl w:val="0"/>
          <w:numId w:val="2"/>
        </w:numPr>
        <w:spacing w:after="40" w:before="40"/>
      </w:pPr>
      <w:r>
        <w:rPr>
          <w:rFonts w:ascii="Arial" w:cs="Arial" w:eastAsia="Arial" w:hAnsi="Arial"/>
          <w:color w:val="1C1C1C"/>
          <w:sz w:val="21"/>
          <w:szCs w:val="21"/>
        </w:rPr>
        <w:t xml:space="preserve">Die allgemein öffentlich zugänglich sind oder werden, ohne dass die empfangende Partei dazu beigetragen hat;</w:t>
      </w:r>
    </w:p>
    <w:p>
      <w:pPr>
        <w:pStyle w:val="ListParagraph"/>
        <w:numPr>
          <w:ilvl w:val="0"/>
          <w:numId w:val="2"/>
        </w:numPr>
        <w:spacing w:after="40" w:before="40"/>
      </w:pPr>
      <w:r>
        <w:rPr>
          <w:rFonts w:ascii="Arial" w:cs="Arial" w:eastAsia="Arial" w:hAnsi="Arial"/>
          <w:color w:val="1C1C1C"/>
          <w:sz w:val="21"/>
          <w:szCs w:val="21"/>
        </w:rPr>
        <w:t xml:space="preserve">Aufgrund gesetzlicher Vorschriften, behördlicher oder gerichtlicher Anordnung offenlegen muss — in diesem Fall hat die empfangende Partei die offenlegende Partei unverzüglich schriftlich zu informieren.</w:t>
      </w:r>
    </w:p>
    <w:p>
      <w:pPr>
        <w:pBdr>
          <w:bottom w:val="single" w:color="1A3A5C" w:sz="4" w:space="1"/>
        </w:pBdr>
        <w:spacing w:after="160" w:before="160"/>
      </w:pPr>
      <w:r>
        <w:t xml:space="preserve"/>
      </w:r>
    </w:p>
    <w:p>
      <w:pPr>
        <w:spacing w:after="100" w:before="280"/>
      </w:pPr>
      <w:r>
        <w:rPr>
          <w:rFonts w:ascii="Arial" w:cs="Arial" w:eastAsia="Arial" w:hAnsi="Arial"/>
          <w:b/>
          <w:bCs/>
          <w:color w:val="1A3A5C"/>
          <w:sz w:val="24"/>
          <w:szCs w:val="24"/>
        </w:rPr>
        <w:t xml:space="preserve">§ 6  </w:t>
      </w:r>
      <w:r>
        <w:rPr>
          <w:rFonts w:ascii="Arial" w:cs="Arial" w:eastAsia="Arial" w:hAnsi="Arial"/>
          <w:b/>
          <w:bCs/>
          <w:color w:val="1C1C1C"/>
          <w:sz w:val="24"/>
          <w:szCs w:val="24"/>
        </w:rPr>
        <w:t xml:space="preserve">Eigentum an Informationen und Entwicklungen</w:t>
      </w:r>
    </w:p>
    <w:p>
      <w:pPr>
        <w:spacing w:after="60" w:before="60"/>
      </w:pPr>
      <w:r>
        <w:t xml:space="preserve"/>
      </w:r>
    </w:p>
    <w:p>
      <w:pPr>
        <w:spacing w:after="80" w:before="80"/>
        <w:jc w:val="left"/>
      </w:pPr>
      <w:r>
        <w:rPr>
          <w:rFonts w:ascii="Arial" w:cs="Arial" w:eastAsia="Arial" w:hAnsi="Arial"/>
          <w:b w:val="false"/>
          <w:bCs w:val="false"/>
          <w:color w:val="1C1C1C"/>
          <w:sz w:val="22"/>
          <w:szCs w:val="22"/>
        </w:rPr>
        <w:t xml:space="preserve">(1) Alle vertraulichen Informationen verbleiben im Eigentum der offenlegenden Partei. Durch diese Vereinbarung werden keine Lizenzen, Nutzungsrechte oder sonstigen Rechte an den vertraulichen Informationen übertragen.</w:t>
      </w:r>
    </w:p>
    <w:p>
      <w:pPr>
        <w:spacing w:after="60" w:before="60"/>
      </w:pPr>
      <w:r>
        <w:t xml:space="preserve"/>
      </w:r>
    </w:p>
    <w:p>
      <w:pPr>
        <w:spacing w:after="80" w:before="80"/>
        <w:jc w:val="left"/>
      </w:pPr>
      <w:r>
        <w:rPr>
          <w:rFonts w:ascii="Arial" w:cs="Arial" w:eastAsia="Arial" w:hAnsi="Arial"/>
          <w:b w:val="false"/>
          <w:bCs w:val="false"/>
          <w:color w:val="1C1C1C"/>
          <w:sz w:val="22"/>
          <w:szCs w:val="22"/>
        </w:rPr>
        <w:t xml:space="preserve">(2) Entwicklungen, Erfindungen oder Verbesserungen, die eine Partei allein auf Basis der eigenen vertraulichen Informationen erzielt, verbleiben in deren alleinigem Eigentum.</w:t>
      </w:r>
    </w:p>
    <w:p>
      <w:pPr>
        <w:spacing w:after="60" w:before="60"/>
      </w:pPr>
      <w:r>
        <w:t xml:space="preserve"/>
      </w:r>
    </w:p>
    <w:p>
      <w:pPr>
        <w:spacing w:after="80" w:before="80"/>
        <w:jc w:val="left"/>
      </w:pPr>
      <w:r>
        <w:rPr>
          <w:rFonts w:ascii="Arial" w:cs="Arial" w:eastAsia="Arial" w:hAnsi="Arial"/>
          <w:b w:val="false"/>
          <w:bCs w:val="false"/>
          <w:color w:val="1C1C1C"/>
          <w:sz w:val="22"/>
          <w:szCs w:val="22"/>
        </w:rPr>
        <w:t xml:space="preserve">(3) Gemeinsam entwickelte Konzepte, Erfindungen oder Weiterentwicklungen der in § 2 genannten Entwicklungspotenziale sind Gegenstand gesonderter schriftlicher Vereinbarungen über Eigentum, Kostenverteilung und Schutzrechtsstrategie. Diese Vereinbarung begründet keine Mitinhaberschaft an Schutzrechten.</w:t>
      </w:r>
    </w:p>
    <w:p>
      <w:pPr>
        <w:spacing w:after="60" w:before="60"/>
      </w:pPr>
      <w:r>
        <w:t xml:space="preserve"/>
      </w:r>
    </w:p>
    <w:p>
      <w:pPr>
        <w:spacing w:after="80" w:before="80"/>
        <w:jc w:val="left"/>
      </w:pPr>
      <w:r>
        <w:rPr>
          <w:rFonts w:ascii="Arial" w:cs="Arial" w:eastAsia="Arial" w:hAnsi="Arial"/>
          <w:b w:val="false"/>
          <w:bCs w:val="false"/>
          <w:color w:val="1C1C1C"/>
          <w:sz w:val="22"/>
          <w:szCs w:val="22"/>
        </w:rPr>
        <w:t xml:space="preserve">(4) PRO TEMPRE weist ausdrücklich auf folgende bestehende Schutzrechte hin: Patent DE 10 2018 110 659.9 (RON-Navigation) sowie geplante DPMA-Gebrauchsmusteranmeldung für das FreqPress® Konzept. Informationen, die im Zusammenhang mit diesen Schutzrechten stehen, unterliegen dieser Vereinbarung.</w:t>
      </w:r>
    </w:p>
    <w:p>
      <w:pPr>
        <w:pBdr>
          <w:bottom w:val="single" w:color="1A3A5C" w:sz="4" w:space="1"/>
        </w:pBdr>
        <w:spacing w:after="160" w:before="160"/>
      </w:pPr>
      <w:r>
        <w:t xml:space="preserve"/>
      </w:r>
    </w:p>
    <w:p>
      <w:pPr>
        <w:spacing w:after="100" w:before="280"/>
      </w:pPr>
      <w:r>
        <w:rPr>
          <w:rFonts w:ascii="Arial" w:cs="Arial" w:eastAsia="Arial" w:hAnsi="Arial"/>
          <w:b/>
          <w:bCs/>
          <w:color w:val="1A3A5C"/>
          <w:sz w:val="24"/>
          <w:szCs w:val="24"/>
        </w:rPr>
        <w:t xml:space="preserve">§ 7  </w:t>
      </w:r>
      <w:r>
        <w:rPr>
          <w:rFonts w:ascii="Arial" w:cs="Arial" w:eastAsia="Arial" w:hAnsi="Arial"/>
          <w:b/>
          <w:bCs/>
          <w:color w:val="1C1C1C"/>
          <w:sz w:val="24"/>
          <w:szCs w:val="24"/>
        </w:rPr>
        <w:t xml:space="preserve">Laufzeit und Beendigung</w:t>
      </w:r>
    </w:p>
    <w:p>
      <w:pPr>
        <w:spacing w:after="80" w:before="80"/>
        <w:jc w:val="left"/>
      </w:pPr>
      <w:r>
        <w:rPr>
          <w:rFonts w:ascii="Arial" w:cs="Arial" w:eastAsia="Arial" w:hAnsi="Arial"/>
          <w:b w:val="false"/>
          <w:bCs w:val="false"/>
          <w:color w:val="1C1C1C"/>
          <w:sz w:val="22"/>
          <w:szCs w:val="22"/>
        </w:rPr>
        <w:t xml:space="preserve">(1) Diese Vereinbarung tritt mit Unterzeichnung durch beide Parteien in Kraft und gilt für eine Dauer von fünf (5) Jahren ab Unterzeichnungsdatum.</w:t>
      </w:r>
    </w:p>
    <w:p>
      <w:pPr>
        <w:spacing w:after="60" w:before="60"/>
      </w:pPr>
      <w:r>
        <w:t xml:space="preserve"/>
      </w:r>
    </w:p>
    <w:p>
      <w:pPr>
        <w:spacing w:after="80" w:before="80"/>
        <w:jc w:val="left"/>
      </w:pPr>
      <w:r>
        <w:rPr>
          <w:rFonts w:ascii="Arial" w:cs="Arial" w:eastAsia="Arial" w:hAnsi="Arial"/>
          <w:b w:val="false"/>
          <w:bCs w:val="false"/>
          <w:color w:val="1C1C1C"/>
          <w:sz w:val="22"/>
          <w:szCs w:val="22"/>
        </w:rPr>
        <w:t xml:space="preserve">(2) Die Geheimhaltungspflicht für vertrauliche Informationen, die als Betriebs- oder Geschäftsgeheimnisse einzustufen sind, gilt zeitlich unbegrenzt fort, auch nach Ablauf der vereinbarten Laufzeit.</w:t>
      </w:r>
    </w:p>
    <w:p>
      <w:pPr>
        <w:spacing w:after="60" w:before="60"/>
      </w:pPr>
      <w:r>
        <w:t xml:space="preserve"/>
      </w:r>
    </w:p>
    <w:p>
      <w:pPr>
        <w:spacing w:after="80" w:before="80"/>
        <w:jc w:val="left"/>
      </w:pPr>
      <w:r>
        <w:rPr>
          <w:rFonts w:ascii="Arial" w:cs="Arial" w:eastAsia="Arial" w:hAnsi="Arial"/>
          <w:b w:val="false"/>
          <w:bCs w:val="false"/>
          <w:color w:val="1C1C1C"/>
          <w:sz w:val="22"/>
          <w:szCs w:val="22"/>
        </w:rPr>
        <w:t xml:space="preserve">(3) Die Parteien können diese Vereinbarung jederzeit einvernehmlich schriftlich beenden. Offengelegte Informationen unterliegen auch nach Beendigung weiterhin der Geheimhaltungspflicht.</w:t>
      </w:r>
    </w:p>
    <w:p>
      <w:pPr>
        <w:pBdr>
          <w:bottom w:val="single" w:color="1A3A5C" w:sz="4" w:space="1"/>
        </w:pBdr>
        <w:spacing w:after="160" w:before="160"/>
      </w:pPr>
      <w:r>
        <w:t xml:space="preserve"/>
      </w:r>
    </w:p>
    <w:p>
      <w:pPr>
        <w:spacing w:after="100" w:before="280"/>
      </w:pPr>
      <w:r>
        <w:rPr>
          <w:rFonts w:ascii="Arial" w:cs="Arial" w:eastAsia="Arial" w:hAnsi="Arial"/>
          <w:b/>
          <w:bCs/>
          <w:color w:val="1A3A5C"/>
          <w:sz w:val="24"/>
          <w:szCs w:val="24"/>
        </w:rPr>
        <w:t xml:space="preserve">§ 8  </w:t>
      </w:r>
      <w:r>
        <w:rPr>
          <w:rFonts w:ascii="Arial" w:cs="Arial" w:eastAsia="Arial" w:hAnsi="Arial"/>
          <w:b/>
          <w:bCs/>
          <w:color w:val="1C1C1C"/>
          <w:sz w:val="24"/>
          <w:szCs w:val="24"/>
        </w:rPr>
        <w:t xml:space="preserve">Vertragsstrafe und Schadensersatz</w:t>
      </w:r>
    </w:p>
    <w:p>
      <w:pPr>
        <w:spacing w:after="80" w:before="80"/>
        <w:jc w:val="left"/>
      </w:pPr>
      <w:r>
        <w:rPr>
          <w:rFonts w:ascii="Arial" w:cs="Arial" w:eastAsia="Arial" w:hAnsi="Arial"/>
          <w:b w:val="false"/>
          <w:bCs w:val="false"/>
          <w:color w:val="1C1C1C"/>
          <w:sz w:val="22"/>
          <w:szCs w:val="22"/>
        </w:rPr>
        <w:t xml:space="preserve">(1) Bei schuldhafter Verletzung der Geheimhaltungspflichten durch eine Partei ist die verletzende Partei verpflichtet, der anderen Partei den daraus entstehenden Schaden vollständig zu ersetzen.</w:t>
      </w:r>
    </w:p>
    <w:p>
      <w:pPr>
        <w:spacing w:after="60" w:before="60"/>
      </w:pPr>
      <w:r>
        <w:t xml:space="preserve"/>
      </w:r>
    </w:p>
    <w:p>
      <w:pPr>
        <w:spacing w:after="80" w:before="80"/>
        <w:jc w:val="left"/>
      </w:pPr>
      <w:r>
        <w:rPr>
          <w:rFonts w:ascii="Arial" w:cs="Arial" w:eastAsia="Arial" w:hAnsi="Arial"/>
          <w:b w:val="false"/>
          <w:bCs w:val="false"/>
          <w:color w:val="1C1C1C"/>
          <w:sz w:val="22"/>
          <w:szCs w:val="22"/>
        </w:rPr>
        <w:t xml:space="preserve">(2) Für jeden schuldhaften Verstoß gegen die Geheimhaltungsverpflichtungen wird eine Vertragsstrafe in Höhe von EUR 25.000,– vereinbart. Die Geltendmachung weiterer Schadensersatzansprüche bleibt unberührt.</w:t>
      </w:r>
    </w:p>
    <w:p>
      <w:pPr>
        <w:spacing w:after="60" w:before="60"/>
      </w:pPr>
      <w:r>
        <w:t xml:space="preserve"/>
      </w:r>
    </w:p>
    <w:p>
      <w:pPr>
        <w:spacing w:after="80" w:before="80"/>
        <w:jc w:val="left"/>
      </w:pPr>
      <w:r>
        <w:rPr>
          <w:rFonts w:ascii="Arial" w:cs="Arial" w:eastAsia="Arial" w:hAnsi="Arial"/>
          <w:b w:val="false"/>
          <w:bCs w:val="false"/>
          <w:color w:val="1C1C1C"/>
          <w:sz w:val="22"/>
          <w:szCs w:val="22"/>
        </w:rPr>
        <w:t xml:space="preserve">(3) Der klagende Teil ist berechtigt, im Wege des einstweiligen Rechtsschutzes Unterlassung zu verlangen. Die Parteien erkennen an, dass ein Verstoß gegen diese Vereinbarung einen unwiederbringlichen Schaden verursachen kann, der allein durch Schadensersatz nicht angemessen ausgeglichen werden kann.</w:t>
      </w:r>
    </w:p>
    <w:p>
      <w:pPr>
        <w:pBdr>
          <w:bottom w:val="single" w:color="1A3A5C" w:sz="4" w:space="1"/>
        </w:pBdr>
        <w:spacing w:after="160" w:before="160"/>
      </w:pPr>
      <w:r>
        <w:t xml:space="preserve"/>
      </w:r>
    </w:p>
    <w:p>
      <w:pPr>
        <w:spacing w:after="100" w:before="280"/>
      </w:pPr>
      <w:r>
        <w:rPr>
          <w:rFonts w:ascii="Arial" w:cs="Arial" w:eastAsia="Arial" w:hAnsi="Arial"/>
          <w:b/>
          <w:bCs/>
          <w:color w:val="1A3A5C"/>
          <w:sz w:val="24"/>
          <w:szCs w:val="24"/>
        </w:rPr>
        <w:t xml:space="preserve">§ 9  </w:t>
      </w:r>
      <w:r>
        <w:rPr>
          <w:rFonts w:ascii="Arial" w:cs="Arial" w:eastAsia="Arial" w:hAnsi="Arial"/>
          <w:b/>
          <w:bCs/>
          <w:color w:val="1C1C1C"/>
          <w:sz w:val="24"/>
          <w:szCs w:val="24"/>
        </w:rPr>
        <w:t xml:space="preserve">Sonstige Bestimmungen</w:t>
      </w:r>
    </w:p>
    <w:p>
      <w:pPr>
        <w:spacing w:after="80" w:before="80"/>
        <w:jc w:val="left"/>
      </w:pPr>
      <w:r>
        <w:rPr>
          <w:rFonts w:ascii="Arial" w:cs="Arial" w:eastAsia="Arial" w:hAnsi="Arial"/>
          <w:b w:val="false"/>
          <w:bCs w:val="false"/>
          <w:color w:val="1C1C1C"/>
          <w:sz w:val="22"/>
          <w:szCs w:val="22"/>
        </w:rPr>
        <w:t xml:space="preserve">(1) Keine Verpflichtung zur Zusammenarbeit: Diese Vereinbarung verpflichtet keine der Parteien zum Abschluss weiterer Verträge, zu Kooperationen oder zur Fortsetzung von Verhandlungen.</w:t>
      </w:r>
    </w:p>
    <w:p>
      <w:pPr>
        <w:spacing w:after="60" w:before="60"/>
      </w:pPr>
      <w:r>
        <w:t xml:space="preserve"/>
      </w:r>
    </w:p>
    <w:p>
      <w:pPr>
        <w:spacing w:after="80" w:before="80"/>
        <w:jc w:val="left"/>
      </w:pPr>
      <w:r>
        <w:rPr>
          <w:rFonts w:ascii="Arial" w:cs="Arial" w:eastAsia="Arial" w:hAnsi="Arial"/>
          <w:b w:val="false"/>
          <w:bCs w:val="false"/>
          <w:color w:val="1C1C1C"/>
          <w:sz w:val="22"/>
          <w:szCs w:val="22"/>
        </w:rPr>
        <w:t xml:space="preserve">(2) Salvatorische Klausel: Sollten einzelne Bestimmungen dieser Vereinbarung unwirksam oder undurchführbar sein, bleibt die Wirksamkeit der übrigen Bestimmungen unberührt. Die unwirksame Bestimmung ist durch eine wirksame Regelung zu ersetzen, die dem wirtschaftlichen Zweck am nächsten kommt.</w:t>
      </w:r>
    </w:p>
    <w:p>
      <w:pPr>
        <w:spacing w:after="60" w:before="60"/>
      </w:pPr>
      <w:r>
        <w:t xml:space="preserve"/>
      </w:r>
    </w:p>
    <w:p>
      <w:pPr>
        <w:spacing w:after="80" w:before="80"/>
        <w:jc w:val="left"/>
      </w:pPr>
      <w:r>
        <w:rPr>
          <w:rFonts w:ascii="Arial" w:cs="Arial" w:eastAsia="Arial" w:hAnsi="Arial"/>
          <w:b w:val="false"/>
          <w:bCs w:val="false"/>
          <w:color w:val="1C1C1C"/>
          <w:sz w:val="22"/>
          <w:szCs w:val="22"/>
        </w:rPr>
        <w:t xml:space="preserve">(3) Schriftformerfordernis: Änderungen und Ergänzungen dieser Vereinbarung bedürfen der Schriftform. Dies gilt auch für die Aufhebung des Schriftformerfordernisses selbst.</w:t>
      </w:r>
    </w:p>
    <w:p>
      <w:pPr>
        <w:spacing w:after="60" w:before="60"/>
      </w:pPr>
      <w:r>
        <w:t xml:space="preserve"/>
      </w:r>
    </w:p>
    <w:p>
      <w:pPr>
        <w:spacing w:after="80" w:before="80"/>
        <w:jc w:val="left"/>
      </w:pPr>
      <w:r>
        <w:rPr>
          <w:rFonts w:ascii="Arial" w:cs="Arial" w:eastAsia="Arial" w:hAnsi="Arial"/>
          <w:b w:val="false"/>
          <w:bCs w:val="false"/>
          <w:color w:val="1C1C1C"/>
          <w:sz w:val="22"/>
          <w:szCs w:val="22"/>
        </w:rPr>
        <w:t xml:space="preserve">(4) Anwendbares Recht: Es gilt deutsches Recht unter Ausschluss des UN-Kaufrechts (CISG).</w:t>
      </w:r>
    </w:p>
    <w:p>
      <w:pPr>
        <w:spacing w:after="60" w:before="60"/>
      </w:pPr>
      <w:r>
        <w:t xml:space="preserve"/>
      </w:r>
    </w:p>
    <w:p>
      <w:pPr>
        <w:spacing w:after="80" w:before="80"/>
        <w:jc w:val="left"/>
      </w:pPr>
      <w:r>
        <w:rPr>
          <w:rFonts w:ascii="Arial" w:cs="Arial" w:eastAsia="Arial" w:hAnsi="Arial"/>
          <w:b w:val="false"/>
          <w:bCs w:val="false"/>
          <w:color w:val="1C1C1C"/>
          <w:sz w:val="22"/>
          <w:szCs w:val="22"/>
        </w:rPr>
        <w:t xml:space="preserve">(5) Gerichtsstand: Für alle Streitigkeiten aus oder im Zusammenhang mit dieser Vereinbarung ist — soweit gesetzlich zulässig — München als ausschließlicher Gerichtsstand vereinbart.</w:t>
      </w:r>
    </w:p>
    <w:p>
      <w:pPr>
        <w:spacing w:after="60" w:before="60"/>
      </w:pPr>
      <w:r>
        <w:t xml:space="preserve"/>
      </w:r>
    </w:p>
    <w:p>
      <w:pPr>
        <w:spacing w:after="80" w:before="80"/>
        <w:jc w:val="left"/>
      </w:pPr>
      <w:r>
        <w:rPr>
          <w:rFonts w:ascii="Arial" w:cs="Arial" w:eastAsia="Arial" w:hAnsi="Arial"/>
          <w:b w:val="false"/>
          <w:bCs w:val="false"/>
          <w:color w:val="1C1C1C"/>
          <w:sz w:val="22"/>
          <w:szCs w:val="22"/>
        </w:rPr>
        <w:t xml:space="preserve">(6) Gesamte Vereinbarung: Diese Vereinbarung stellt die vollständige Einigung der Parteien zu dem hier geregelten Gegenstand dar und ersetzt alle früheren mündlichen oder schriftlichen Vereinbarungen hierzu.</w:t>
      </w:r>
    </w:p>
    <w:p>
      <w:pPr>
        <w:pBdr>
          <w:bottom w:val="single" w:color="1A3A5C" w:sz="4" w:space="1"/>
        </w:pBdr>
        <w:spacing w:after="160" w:before="160"/>
      </w:pPr>
      <w:r>
        <w:t xml:space="preserve"/>
      </w:r>
    </w:p>
    <w:p>
      <w:pPr>
        <w:spacing w:after="60" w:before="60"/>
      </w:pPr>
      <w:r>
        <w:t xml:space="preserve"/>
      </w:r>
    </w:p>
    <w:p>
      <w:pPr>
        <w:spacing w:after="180" w:before="80"/>
        <w:jc w:val="center"/>
      </w:pPr>
      <w:r>
        <w:rPr>
          <w:rFonts w:ascii="Arial" w:cs="Arial" w:eastAsia="Arial" w:hAnsi="Arial"/>
          <w:b/>
          <w:bCs/>
          <w:color w:val="1A3A5C"/>
          <w:sz w:val="22"/>
          <w:szCs w:val="22"/>
        </w:rPr>
        <w:t xml:space="preserve">— Unterschriften —</w:t>
      </w:r>
    </w:p>
    <w:p>
      <w:pPr>
        <w:spacing w:after="160" w:before="40"/>
      </w:pPr>
      <w:r>
        <w:rPr>
          <w:rFonts w:ascii="Arial" w:cs="Arial" w:eastAsia="Arial" w:hAnsi="Arial"/>
          <w:color w:val="555555"/>
          <w:sz w:val="20"/>
          <w:szCs w:val="20"/>
        </w:rPr>
        <w:t xml:space="preserve">Mit ihrer Unterschrift bestätigen die Parteien, diese Vereinbarung gelesen und verstanden zu haben und erklären sich mit deren Inhalt einverstanden.</w:t>
      </w:r>
    </w:p>
    <w:p>
      <w:pP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none" w:color="FFFFFF" w:sz="0"/>
              <w:right w:val="none" w:color="FFFFFF" w:sz="0"/>
            </w:tcBorders>
          </w:tcPr>
          <w:p>
            <w:pPr>
              <w:pBdr>
                <w:bottom w:val="single" w:color="333333" w:sz="4"/>
              </w:pBdr>
            </w:pPr>
            <w:r>
              <w:t xml:space="preserve"/>
            </w:r>
          </w:p>
        </w:tc>
        <w:tc>
          <w:tcPr>
            <w:tcW w:type="dxa" w:w="360"/>
            <w:tcBorders>
              <w:top w:val="none" w:color="FFFFFF" w:sz="0"/>
              <w:left w:val="none" w:color="FFFFFF" w:sz="0"/>
              <w:bottom w:val="none" w:color="FFFFFF" w:sz="0"/>
              <w:right w:val="none" w:color="FFFFFF" w:sz="0"/>
            </w:tcBorders>
          </w:tcPr>
          <w:p>
            <w:r>
              <w:t xml:space="preserve"/>
            </w:r>
          </w:p>
        </w:tc>
        <w:tc>
          <w:tcPr>
            <w:tcW w:type="dxa" w:w="4500"/>
            <w:tcBorders>
              <w:top w:val="none" w:color="FFFFFF" w:sz="0"/>
              <w:left w:val="none" w:color="FFFFFF" w:sz="0"/>
              <w:bottom w:val="none" w:color="FFFFFF" w:sz="0"/>
              <w:right w:val="none" w:color="FFFFFF" w:sz="0"/>
            </w:tcBorders>
          </w:tcPr>
          <w:p>
            <w:pPr>
              <w:pBdr>
                <w:bottom w:val="single" w:color="333333" w:sz="4"/>
              </w:pBdr>
            </w:pPr>
            <w:r>
              <w:t xml:space="preserve"/>
            </w:r>
          </w:p>
        </w:tc>
      </w:tr>
      <w:tr>
        <w:tc>
          <w:tcPr>
            <w:tcW w:type="dxa" w:w="4500"/>
            <w:tcBorders>
              <w:top w:val="none" w:color="FFFFFF" w:sz="0"/>
              <w:left w:val="none" w:color="FFFFFF" w:sz="0"/>
              <w:bottom w:val="none" w:color="FFFFFF" w:sz="0"/>
              <w:right w:val="none" w:color="FFFFFF" w:sz="0"/>
            </w:tcBorders>
          </w:tcPr>
          <w:p>
            <w:pPr>
              <w:spacing w:before="60"/>
            </w:pPr>
            <w:r>
              <w:rPr>
                <w:rFonts w:ascii="Arial" w:cs="Arial" w:eastAsia="Arial" w:hAnsi="Arial"/>
                <w:b/>
                <w:bCs/>
                <w:color w:val="1C1C1C"/>
                <w:sz w:val="20"/>
                <w:szCs w:val="20"/>
              </w:rPr>
              <w:t xml:space="preserve">Wolfram Löbnitz</w:t>
            </w:r>
          </w:p>
          <w:p>
            <w:pPr>
              <w:spacing w:before="20"/>
            </w:pPr>
            <w:r>
              <w:rPr>
                <w:rFonts w:ascii="Arial" w:cs="Arial" w:eastAsia="Arial" w:hAnsi="Arial"/>
                <w:color w:val="888888"/>
                <w:sz w:val="19"/>
                <w:szCs w:val="19"/>
              </w:rPr>
              <w:t xml:space="preserve">PRO TEMPRE – Wolfram Löbnitz · Fredersdorf/b. Berlin</w:t>
            </w:r>
          </w:p>
        </w:tc>
        <w:tc>
          <w:tcPr>
            <w:tcW w:type="dxa" w:w="360"/>
            <w:tcBorders>
              <w:top w:val="none" w:color="FFFFFF" w:sz="0"/>
              <w:left w:val="none" w:color="FFFFFF" w:sz="0"/>
              <w:bottom w:val="none" w:color="FFFFFF" w:sz="0"/>
              <w:right w:val="none" w:color="FFFFFF" w:sz="0"/>
            </w:tcBorders>
          </w:tcPr>
          <w:p>
            <w:r>
              <w:t xml:space="preserve"/>
            </w:r>
          </w:p>
        </w:tc>
        <w:tc>
          <w:tcPr>
            <w:tcW w:type="dxa" w:w="4500"/>
            <w:tcBorders>
              <w:top w:val="none" w:color="FFFFFF" w:sz="0"/>
              <w:left w:val="none" w:color="FFFFFF" w:sz="0"/>
              <w:bottom w:val="none" w:color="FFFFFF" w:sz="0"/>
              <w:right w:val="none" w:color="FFFFFF" w:sz="0"/>
            </w:tcBorders>
          </w:tcPr>
          <w:p>
            <w:pPr>
              <w:spacing w:before="60"/>
            </w:pPr>
            <w:r>
              <w:rPr>
                <w:rFonts w:ascii="Arial" w:cs="Arial" w:eastAsia="Arial" w:hAnsi="Arial"/>
                <w:b/>
                <w:bCs/>
                <w:color w:val="1C1C1C"/>
                <w:sz w:val="20"/>
                <w:szCs w:val="20"/>
              </w:rPr>
              <w:t xml:space="preserve">Angela Frommer</w:t>
            </w:r>
          </w:p>
          <w:p>
            <w:pPr>
              <w:spacing w:before="20"/>
            </w:pPr>
            <w:r>
              <w:rPr>
                <w:rFonts w:ascii="Arial" w:cs="Arial" w:eastAsia="Arial" w:hAnsi="Arial"/>
                <w:color w:val="888888"/>
                <w:sz w:val="19"/>
                <w:szCs w:val="19"/>
              </w:rPr>
              <w:t xml:space="preserve">Geschäftsführerin · beauty lumis GmbH · Oberschleißheim</w:t>
            </w:r>
          </w:p>
        </w:tc>
      </w:tr>
    </w:tbl>
    <w:p>
      <w:pPr>
        <w:spacing w:after="180" w:before="180"/>
      </w:pPr>
      <w:r>
        <w:t xml:space="preserve"/>
      </w:r>
    </w:p>
    <w:p>
      <w:pPr>
        <w:spacing w:after="40" w:before="40"/>
      </w:pPr>
      <w:r>
        <w:rPr>
          <w:rFonts w:ascii="Arial" w:cs="Arial" w:eastAsia="Arial" w:hAnsi="Arial"/>
          <w:color w:val="555555"/>
          <w:sz w:val="20"/>
          <w:szCs w:val="20"/>
        </w:rPr>
        <w:t xml:space="preserve">Ort, Datum: Oberschleißheim, den _________________________</w:t>
      </w:r>
    </w:p>
    <w:p>
      <w:pPr>
        <w:spacing w:after="120" w:before="120"/>
      </w:pPr>
      <w:r>
        <w:t xml:space="preserve"/>
      </w:r>
    </w:p>
    <w:p>
      <w:pPr>
        <w:spacing w:after="100" w:before="40"/>
      </w:pPr>
      <w:r>
        <w:rPr>
          <w:rFonts w:ascii="Arial" w:cs="Arial" w:eastAsia="Arial" w:hAnsi="Arial"/>
          <w:color w:val="888888"/>
          <w:sz w:val="19"/>
          <w:szCs w:val="19"/>
        </w:rPr>
        <w:t xml:space="preserve">Optional — Zustimmung des technischen Entwicklungsverantwortlichen: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color="FFFFFF" w:sz="0"/>
              <w:left w:val="none" w:color="FFFFFF" w:sz="0"/>
              <w:bottom w:val="none" w:color="FFFFFF" w:sz="0"/>
              <w:right w:val="none" w:color="FFFFFF" w:sz="0"/>
            </w:tcBorders>
          </w:tcPr>
          <w:p>
            <w:pPr>
              <w:pBdr>
                <w:bottom w:val="single" w:color="333333" w:sz="4"/>
              </w:pBdr>
            </w:pPr>
            <w:r>
              <w:t xml:space="preserve"/>
            </w:r>
          </w:p>
        </w:tc>
        <w:tc>
          <w:tcPr>
            <w:tcW w:type="dxa" w:w="360"/>
            <w:tcBorders>
              <w:top w:val="none" w:color="FFFFFF" w:sz="0"/>
              <w:left w:val="none" w:color="FFFFFF" w:sz="0"/>
              <w:bottom w:val="none" w:color="FFFFFF" w:sz="0"/>
              <w:right w:val="none" w:color="FFFFFF" w:sz="0"/>
            </w:tcBorders>
          </w:tcPr>
          <w:p>
            <w:r>
              <w:t xml:space="preserve"/>
            </w:r>
          </w:p>
        </w:tc>
        <w:tc>
          <w:tcPr>
            <w:tcW w:type="dxa" w:w="4500"/>
            <w:tcBorders>
              <w:top w:val="none" w:color="FFFFFF" w:sz="0"/>
              <w:left w:val="none" w:color="FFFFFF" w:sz="0"/>
              <w:bottom w:val="none" w:color="FFFFFF" w:sz="0"/>
              <w:right w:val="none" w:color="FFFFFF" w:sz="0"/>
            </w:tcBorders>
          </w:tcPr>
          <w:p>
            <w:pPr>
              <w:pBdr>
                <w:bottom w:val="single" w:color="333333" w:sz="4"/>
              </w:pBdr>
            </w:pPr>
            <w:r>
              <w:t xml:space="preserve"/>
            </w:r>
          </w:p>
        </w:tc>
      </w:tr>
      <w:tr>
        <w:tc>
          <w:tcPr>
            <w:tcW w:type="dxa" w:w="4500"/>
            <w:tcBorders>
              <w:top w:val="none" w:color="FFFFFF" w:sz="0"/>
              <w:left w:val="none" w:color="FFFFFF" w:sz="0"/>
              <w:bottom w:val="none" w:color="FFFFFF" w:sz="0"/>
              <w:right w:val="none" w:color="FFFFFF" w:sz="0"/>
            </w:tcBorders>
          </w:tcPr>
          <w:p>
            <w:pPr>
              <w:spacing w:before="60"/>
            </w:pPr>
            <w:r>
              <w:rPr>
                <w:rFonts w:ascii="Arial" w:cs="Arial" w:eastAsia="Arial" w:hAnsi="Arial"/>
                <w:b/>
                <w:bCs/>
                <w:color w:val="1C1C1C"/>
                <w:sz w:val="20"/>
                <w:szCs w:val="20"/>
              </w:rPr>
              <w:t xml:space="preserve"/>
            </w:r>
          </w:p>
          <w:p>
            <w:pPr>
              <w:spacing w:before="20"/>
            </w:pPr>
            <w:r>
              <w:rPr>
                <w:rFonts w:ascii="Arial" w:cs="Arial" w:eastAsia="Arial" w:hAnsi="Arial"/>
                <w:color w:val="888888"/>
                <w:sz w:val="19"/>
                <w:szCs w:val="19"/>
              </w:rPr>
              <w:t xml:space="preserve"/>
            </w:r>
          </w:p>
        </w:tc>
        <w:tc>
          <w:tcPr>
            <w:tcW w:type="dxa" w:w="360"/>
            <w:tcBorders>
              <w:top w:val="none" w:color="FFFFFF" w:sz="0"/>
              <w:left w:val="none" w:color="FFFFFF" w:sz="0"/>
              <w:bottom w:val="none" w:color="FFFFFF" w:sz="0"/>
              <w:right w:val="none" w:color="FFFFFF" w:sz="0"/>
            </w:tcBorders>
          </w:tcPr>
          <w:p>
            <w:r>
              <w:t xml:space="preserve"/>
            </w:r>
          </w:p>
        </w:tc>
        <w:tc>
          <w:tcPr>
            <w:tcW w:type="dxa" w:w="4500"/>
            <w:tcBorders>
              <w:top w:val="none" w:color="FFFFFF" w:sz="0"/>
              <w:left w:val="none" w:color="FFFFFF" w:sz="0"/>
              <w:bottom w:val="none" w:color="FFFFFF" w:sz="0"/>
              <w:right w:val="none" w:color="FFFFFF" w:sz="0"/>
            </w:tcBorders>
          </w:tcPr>
          <w:p>
            <w:pPr>
              <w:spacing w:before="60"/>
            </w:pPr>
            <w:r>
              <w:rPr>
                <w:rFonts w:ascii="Arial" w:cs="Arial" w:eastAsia="Arial" w:hAnsi="Arial"/>
                <w:b/>
                <w:bCs/>
                <w:color w:val="1C1C1C"/>
                <w:sz w:val="20"/>
                <w:szCs w:val="20"/>
              </w:rPr>
              <w:t xml:space="preserve">Adalbert Frommer</w:t>
            </w:r>
          </w:p>
          <w:p>
            <w:pPr>
              <w:spacing w:before="20"/>
            </w:pPr>
            <w:r>
              <w:rPr>
                <w:rFonts w:ascii="Arial" w:cs="Arial" w:eastAsia="Arial" w:hAnsi="Arial"/>
                <w:color w:val="888888"/>
                <w:sz w:val="19"/>
                <w:szCs w:val="19"/>
              </w:rPr>
              <w:t xml:space="preserve">Technische Leitung · beauty lumis GmbH</w:t>
            </w:r>
          </w:p>
        </w:tc>
      </w:tr>
    </w:tbl>
    <w:p>
      <w:pPr>
        <w:spacing w:after="120" w:before="120"/>
      </w:pPr>
      <w:r>
        <w:t xml:space="preserve"/>
      </w:r>
    </w:p>
    <w:p>
      <w:pPr>
        <w:pBdr>
          <w:bottom w:val="single" w:color="1A3A5C" w:sz="4" w:space="1"/>
        </w:pBdr>
        <w:spacing w:after="160" w:before="160"/>
      </w:pPr>
      <w:r>
        <w:t xml:space="preserve"/>
      </w:r>
    </w:p>
    <w:p>
      <w:pPr>
        <w:spacing w:after="80" w:before="120"/>
      </w:pPr>
      <w:r>
        <w:rPr>
          <w:rFonts w:ascii="Arial" w:cs="Arial" w:eastAsia="Arial" w:hAnsi="Arial"/>
          <w:b/>
          <w:bCs/>
          <w:color w:val="1A3A5C"/>
          <w:sz w:val="22"/>
          <w:szCs w:val="22"/>
        </w:rPr>
        <w:t xml:space="preserve">Anlage A — Kurzcharakteristik der Entwicklungspotenziale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4FC" w:val="clear"/>
            <w:tcMar>
              <w:top w:type="dxa" w:w="120"/>
              <w:left w:type="dxa" w:w="160"/>
              <w:bottom w:type="dxa" w:w="120"/>
              <w:right w:type="dxa" w:w="160"/>
            </w:tcMar>
          </w:tcPr>
          <w:p>
            <w:pPr>
              <w:spacing w:after="60" w:before="40"/>
            </w:pPr>
            <w:r>
              <w:rPr>
                <w:rFonts w:ascii="Arial" w:cs="Arial" w:eastAsia="Arial" w:hAnsi="Arial"/>
                <w:b/>
                <w:bCs/>
                <w:color w:val="1A3A5C"/>
                <w:sz w:val="21"/>
                <w:szCs w:val="21"/>
              </w:rPr>
              <w:t xml:space="preserve">Anlage A.1 — FreqPress® Suit (Entwicklungspotenzial 1)</w:t>
            </w:r>
          </w:p>
          <w:p>
            <w:pPr>
              <w:spacing w:after="40" w:before="0"/>
            </w:pPr>
            <w:r>
              <w:rPr>
                <w:rFonts w:ascii="Arial" w:cs="Arial" w:eastAsia="Arial" w:hAnsi="Arial"/>
                <w:color w:val="1C1C1C"/>
                <w:sz w:val="20"/>
                <w:szCs w:val="20"/>
              </w:rPr>
              <w:t xml:space="preserve">Tragbares Ganzkörper-Therapiesystem. Kernelemente: (a) Pneumatischer Kompressionsanzug mit 24–48 Druckkammern. (b) Integriertes PEMF-Flachspulen-Array (12–18 Spulen) aus flexiblen Leiterbahnen, einlaminiert in den Anzug. (c) Organtopografisches Frequenz-Mapping: jede Körperzone erhält eine definierte therapeutische Frequenz (Beispiele: Herzzone 528 Hz, Lymphknoten 40 Hz, Muskulatur 10–100 Hz). (d) FreqPulse™-Synchronisationsalgorithmus: PEMF-Impulse werden mit der Aufblas-Phase der jeweiligen Druckkammer synchronisiert. (e) App-Steuerung mit Echtzeit-Visualisierung aktiver Organzonen. Zielmarkt: Premium-Beauty-Studios, Medical Spas, Physiotherapie. Zielpreis: 28.000–45.000 €. Angestrebte Zertifizierung: CE / MDR Klasse IIa.</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AF1" w:val="clear"/>
            <w:tcMar>
              <w:top w:type="dxa" w:w="120"/>
              <w:left w:type="dxa" w:w="160"/>
              <w:bottom w:type="dxa" w:w="120"/>
              <w:right w:type="dxa" w:w="160"/>
            </w:tcMar>
          </w:tcPr>
          <w:p>
            <w:pPr>
              <w:spacing w:after="60" w:before="40"/>
            </w:pPr>
            <w:r>
              <w:rPr>
                <w:rFonts w:ascii="Arial" w:cs="Arial" w:eastAsia="Arial" w:hAnsi="Arial"/>
                <w:b/>
                <w:bCs/>
                <w:color w:val="2A7A44"/>
                <w:sz w:val="21"/>
                <w:szCs w:val="21"/>
              </w:rPr>
              <w:t xml:space="preserve">Anlage A.2 — SmartPresso® Vascular Mapping System (Entwicklungspotenzial 2)</w:t>
            </w:r>
          </w:p>
          <w:p>
            <w:pPr>
              <w:spacing w:after="40" w:before="0"/>
            </w:pPr>
            <w:r>
              <w:rPr>
                <w:rFonts w:ascii="Arial" w:cs="Arial" w:eastAsia="Arial" w:hAnsi="Arial"/>
                <w:color w:val="1C1C1C"/>
                <w:sz w:val="20"/>
                <w:szCs w:val="20"/>
              </w:rPr>
              <w:t xml:space="preserve">Technologiekonzept zur simultanen Mehrpunkt-Blutdruckmessung via Pressotherapie-Anzug. Kernprinzip: Die bestehenden Druckkammern eines Kompressionsanzugs fungieren auf Basis des Oszillometrie-Prinzips zugleich als Blutdruck-Sensoren. Während der Ablassphase jeder Kammer werden Druckoszillationen erfasst und daraus lokale arterielle Druckwerte (systolisch, diastolisch, MAP) berechnet. Ergebnis: vollständige vaskuläre Körperdruckkarte (bis zu 44 simultane Messpunkte) in einer einzigen 30–60-minütigen Behandlungssitzung. Erweiterung: KI-gestützte Analyse von Druckgradienten, Pulswellengeschwindigkeit und Behandlungsverläufen zur adaptiven Echtzeit-Steuerung des Kompressionsprotokolls. Zielanwendungen: Lymphödem-Management, periphere arterielle Erkrankung (ABI-Screening), kardiovaskuläre Prävention im Studio-Setting.</w:t>
            </w:r>
          </w:p>
        </w:tc>
      </w:tr>
    </w:tbl>
    <w:p>
      <w:pPr>
        <w:spacing w:after="120" w:before="120"/>
      </w:pPr>
      <w:r>
        <w:t xml:space="preserve"/>
      </w:r>
    </w:p>
    <w:p>
      <w:pPr>
        <w:spacing w:after="40" w:before="120"/>
        <w:jc w:val="center"/>
      </w:pPr>
      <w:r>
        <w:rPr>
          <w:rFonts w:ascii="Arial" w:cs="Arial" w:eastAsia="Arial" w:hAnsi="Arial"/>
          <w:color w:val="888888"/>
          <w:sz w:val="20"/>
          <w:szCs w:val="20"/>
        </w:rPr>
        <w:t xml:space="preserve">— Ende der Vereinbarung —</w:t>
      </w:r>
    </w:p>
    <w:p>
      <w:pPr>
        <w:spacing w:after="40" w:before="0"/>
        <w:jc w:val="center"/>
      </w:pPr>
      <w:r>
        <w:rPr>
          <w:rFonts w:ascii="Arial" w:cs="Arial" w:eastAsia="Arial" w:hAnsi="Arial"/>
          <w:color w:val="888888"/>
          <w:sz w:val="18"/>
          <w:szCs w:val="18"/>
        </w:rPr>
        <w:t xml:space="preserve">NDA-PT-BL-2026-001  ·  13. April 2026  ·  2 Ausfertigungen</w:t>
      </w:r>
    </w:p>
    <w:sectPr>
      <w:pgSz w:w="11906" w:h="16838" w:orient="portrait"/>
      <w:pgMar w:top="1200" w:right="1300" w:bottom="12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2026-04-13T05:33:42.495Z</dcterms:created>
  <dcterms:modified xsi:type="dcterms:W3CDTF">2026-04-13T05:33:42.496Z</dcterms:modified>
</cp:coreProperties>
</file>

<file path=docProps/custom.xml><?xml version="1.0" encoding="utf-8"?>
<Properties xmlns="http://schemas.openxmlformats.org/officeDocument/2006/custom-properties" xmlns:vt="http://schemas.openxmlformats.org/officeDocument/2006/docPropsVTypes"/>
</file>