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847" w:val="clear"/>
            <w:tcMar>
              <w:top w:type="dxa" w:w="200"/>
              <w:left w:type="dxa" w:w="300"/>
              <w:bottom w:type="dxa" w:w="180"/>
              <w:right w:type="dxa" w:w="300"/>
            </w:tcMar>
          </w:tcPr>
          <w:p>
            <w:pPr>
              <w:spacing w:after="4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KOOPERATIONSVEREINBARUNG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4A24A"/>
                <w:sz w:val="21"/>
                <w:szCs w:val="21"/>
              </w:rPr>
              <w:t xml:space="preserve">GUS-Markterschließung · Regulatorik · Produktinnovation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20"/>
                <w:szCs w:val="20"/>
              </w:rPr>
              <w:t xml:space="preserve">beauty lumis GmbH  ×  PRO TEMPRE – Wolfram Löbnitz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5750"/>
                <w:sz w:val="20"/>
                <w:szCs w:val="20"/>
              </w:rPr>
              <w:t xml:space="preserve">Datum</w:t>
            </w:r>
          </w:p>
        </w:tc>
        <w:tc>
          <w:tcPr>
            <w:tcW w:type="dxa" w:w="696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0"/>
                <w:szCs w:val="20"/>
              </w:rPr>
              <w:t xml:space="preserve">15. April 2026, Fredersdorf / Oberschleißheim</w:t>
            </w:r>
          </w:p>
        </w:tc>
      </w:tr>
      <w:tr>
        <w:tc>
          <w:tcPr>
            <w:tcW w:type="dxa" w:w="240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5750"/>
                <w:sz w:val="20"/>
                <w:szCs w:val="20"/>
              </w:rPr>
              <w:t xml:space="preserve">Dok.-Nr.</w:t>
            </w:r>
          </w:p>
        </w:tc>
        <w:tc>
          <w:tcPr>
            <w:tcW w:type="dxa" w:w="696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0"/>
                <w:szCs w:val="20"/>
              </w:rPr>
              <w:t xml:space="preserve">KV-PT-BL-2026-001 — ENTWURF</w:t>
            </w:r>
          </w:p>
        </w:tc>
      </w:tr>
      <w:tr>
        <w:tc>
          <w:tcPr>
            <w:tcW w:type="dxa" w:w="240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5750"/>
                <w:sz w:val="20"/>
                <w:szCs w:val="20"/>
              </w:rPr>
              <w:t xml:space="preserve">Grundlage</w:t>
            </w:r>
          </w:p>
        </w:tc>
        <w:tc>
          <w:tcPr>
            <w:tcW w:type="dxa" w:w="696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0"/>
                <w:szCs w:val="20"/>
              </w:rPr>
              <w:t xml:space="preserve">Treffen Oberschleißheim 14.04.2026; NDA NDA-PT-BL-2026-001 v. 14.04.2026</w:t>
            </w:r>
          </w:p>
        </w:tc>
      </w:tr>
      <w:tr>
        <w:tc>
          <w:tcPr>
            <w:tcW w:type="dxa" w:w="240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5750"/>
                <w:sz w:val="20"/>
                <w:szCs w:val="20"/>
              </w:rPr>
              <w:t xml:space="preserve">Status</w:t>
            </w:r>
          </w:p>
        </w:tc>
        <w:tc>
          <w:tcPr>
            <w:tcW w:type="dxa" w:w="696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ENTWURF — Zur Verhandlung und Unterzeichnung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1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Vertragsparteien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163D6E"/>
                <w:sz w:val="20"/>
                <w:szCs w:val="20"/>
              </w:rPr>
              <w:t xml:space="preserve">Partei A: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F0E0C"/>
                <w:sz w:val="22"/>
                <w:szCs w:val="22"/>
              </w:rPr>
              <w:t xml:space="preserve">PRO TEMPRE – Wolfram Löbnitz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color w:val="5A5750"/>
                <w:sz w:val="20"/>
                <w:szCs w:val="20"/>
              </w:rPr>
              <w:t xml:space="preserve">Feuerbachstraße 11F (Haus 2)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color w:val="5A5750"/>
                <w:sz w:val="20"/>
                <w:szCs w:val="20"/>
              </w:rPr>
              <w:t xml:space="preserve">15370 Fredersdorf/b. Berlin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color w:val="5A5750"/>
                <w:sz w:val="20"/>
                <w:szCs w:val="20"/>
              </w:rPr>
              <w:t xml:space="preserve">wolfram.loebnitz@protempre.com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color w:val="9A9690"/>
                <w:sz w:val="20"/>
                <w:szCs w:val="20"/>
              </w:rPr>
              <w:t xml:space="preserve">(nachfolgend: PRO TEMPRE)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2"/>
                <w:szCs w:val="22"/>
              </w:rP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9A7B2E"/>
                <w:sz w:val="20"/>
                <w:szCs w:val="20"/>
              </w:rPr>
              <w:t xml:space="preserve">Partei B: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F0E0C"/>
                <w:sz w:val="22"/>
                <w:szCs w:val="22"/>
              </w:rPr>
              <w:t xml:space="preserve">beauty lumis GmbH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color w:val="5A5750"/>
                <w:sz w:val="20"/>
                <w:szCs w:val="20"/>
              </w:rPr>
              <w:t xml:space="preserve">Bruckmannring 38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color w:val="5A5750"/>
                <w:sz w:val="20"/>
                <w:szCs w:val="20"/>
              </w:rPr>
              <w:t xml:space="preserve">85764 Oberschleißheim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color w:val="5A5750"/>
                <w:sz w:val="20"/>
                <w:szCs w:val="20"/>
              </w:rPr>
              <w:t xml:space="preserve">HRB 104505 / AG München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color w:val="5A5750"/>
                <w:sz w:val="20"/>
                <w:szCs w:val="20"/>
              </w:rPr>
              <w:t xml:space="preserve">GF: Angela Frommer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color w:val="9A9690"/>
                <w:sz w:val="20"/>
                <w:szCs w:val="20"/>
              </w:rPr>
              <w:t xml:space="preserve">(nachfolgend: beauty lumis)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5A5750"/>
          <w:sz w:val="20"/>
          <w:szCs w:val="20"/>
        </w:rPr>
        <w:t xml:space="preserve">PRO TEMPRE und beauty lumis schließen auf Basis des Treffens vom 14. April 2026 in Oberschleißheim die folgende Kooperationsvereinbarung. Das am gleichen Tage unterzeichnete NDA (NDA-PT-BL-2026-001) bleibt parallel in Kraft und wird durch diese Vereinbarung nicht ersetzt.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2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Gegenstand und Kooperationsfelder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Gegenstand dieser Vereinbarung ist die strukturierte Zusammenarbeit in drei vereinbarten Themenfeldern: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shd w:fill="EBF2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163D6E"/>
                <w:sz w:val="21"/>
                <w:szCs w:val="21"/>
              </w:rPr>
              <w:t xml:space="preserve">Kooperationsfeld 1 — MDR Anhang XVI · BYONIK® &amp; PEDYONIK® (Laser)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0"/>
                <w:szCs w:val="20"/>
              </w:rPr>
              <w:t xml:space="preserve">Unterstützung beim Zulassungsverfahren gem. MDR (EU) 2017/745 Anhang XVI für die Lasergeräte BYONIK® PTL und PEDYONIK® (Geräteklasse IIb nach DVO 2022/2347). Systematisierung und Digitalisierung der Zulassungsdokumentation. Nutzung von INQA-Coaching (80 % Bundesförderung) für die Digitalisierung des QM-Systems und der Technischen Dokumentation.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shd w:fill="FAF5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9A7B2E"/>
                <w:sz w:val="21"/>
                <w:szCs w:val="21"/>
              </w:rPr>
              <w:t xml:space="preserve">Kooperationsfeld 2 — Erschließung GUS-Märkte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0"/>
                <w:szCs w:val="20"/>
              </w:rPr>
              <w:t xml:space="preserve">Strategische und operative Erschließung der GUS-Märkte (Ukraine, Kasachstan, Georgien als Priorität A; Aserbaidschan als Priorität B) für das beauty lumis Portfolio (BYONIK®, SLIMYONIK® AIR, N'YOU®). Entwicklung und Verhandlung eines Business Partnership Models (BPM) inkl. Exklusivitätsregelungen. Distributor-Identifikation, Qualifikation und Vertragsgestaltung.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3CB" w:sz="1"/>
              <w:left w:val="single" w:color="D8D3CB" w:sz="1"/>
              <w:bottom w:val="single" w:color="D8D3CB" w:sz="1"/>
              <w:right w:val="single" w:color="D8D3CB" w:sz="1"/>
            </w:tcBorders>
            <w:shd w:fill="E8F5EE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1A5C38"/>
                <w:sz w:val="21"/>
                <w:szCs w:val="21"/>
              </w:rPr>
              <w:t xml:space="preserve">Kooperationsfeld 3 — Produktinnovation &amp; IP (FreqPress® / SmartPresso®)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0"/>
                <w:szCs w:val="20"/>
              </w:rPr>
              <w:t xml:space="preserve">Gemeinsame Weiterentwicklung und Schutzrechtsstrategie für die am 14.04.2026 vorgestellten Patentideen FreqPress® Suit (Pressotherapie + PEMF organtopografisch) und SmartPresso® Vascular Mapping System. Grundlage: NDA-PT-BL-2026-001. Arbeitsteilung und IP-Eigentümerschaft nach separatem IP-Agreement.</w:t>
            </w:r>
          </w:p>
        </w:tc>
      </w:tr>
    </w:tbl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3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Leistungen PRO TEMPRE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3.1 Kooperationsfeld 1 — MDR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Erstellung eines strukturierten Gap-Analyse-Fragebogens und Durchführung der Gap-Analyse (aktuelle Dokumentation vs. MDR-Anforderungen Klasse IIb)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Regulatory-Koordination: Benannte Stelle (TÜV SÜD oder BSI), PRRC-Unterstützung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INQA-Coaching (12 Einheiten): Antragstellung, vollständige Pflichtdokumentation, Moderation aller Workshops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Konzeption und Aufbau einer digitalen QM-Dokumentationsplattform gemäß MDR Anhang II/III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Koordination klinische Bewertung / Analogienachweis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3.2 Kooperationsfeld 2 — GUS-Märkte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Ausarbeitung von Modellvergleichen Exklusivität (vollexklusiv / gebietsexklusiv / produktexklusiv) mit Empfehlung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Entwicklung eines Business Partnership Models (BPM) mit konkreten Konditionen, KPIs, Mindestabnahmemengen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Distributor-Scouting: Longlist und Shortlist (3–5 qualifizierte Kandidaten pro Markt)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Russisch-/ukrainischsprachige Verkaufs- und Marketingmaterialien für alle drei Marken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Messebegleitung: Intercharm Ukraine (Kyiv) und Almaty Beauty Fair; Netzwerk Global Partners Germany e.V.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Regulatorische Kurzanalyse für Ukraine, Kasachstan, Georgien (CE-Anerkennung, lokale Registrierung)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3.3 Kooperationsfeld 3 — Innovation &amp; IP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DPMA-Gebrauchsmusteranmeldungen GM A (FreqPress®) und GM B (SmartPresso®)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Konsortiumsaufbau: Fraunhofer IOSB-AST, BTU Cottbus-Senftenberg, EvoLogics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Förderanträge: ZIM (BMWK), EIC Accelerator (EU), ggf. STARK-Fonds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Inventor's Log und technisches Whitepaper; Markenregistrierung FreqPress® + SmartPresso®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4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Leistungen beauty lumis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Bereitstellung aller relevanten technischen Unterlagen, QM-Dokumentation und Produktdaten für MDR-Gap-Analyse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Technische Co-Entwicklung FreqPress® / SmartPresso® (Adalbert Frommer als technischer Ansprechpartner)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Entscheidung über GUS-Marktkonditionen (Exklusivität, BPM, Preise) nach PRO TEMPRE-Empfehlung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Teilnahme an INQA-Coaching-Workshops (ca. 2–4 Std. pro Einheit); Mitwirkung Kick-off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INQA-Eigenanteil: 2.880 € (20 % von 14.400 € Gesamthonorar)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Bereitstellung einer SLIMYONIK® AIR Einheit als Hardware-Basis für FreqPress®-Prototyp (Leihe)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0F0E0C"/>
          <w:sz w:val="21"/>
          <w:szCs w:val="21"/>
        </w:rPr>
        <w:t xml:space="preserve">Reisekosten-Erstattung PRO TEMPRE (nach Nachweis, Economy-Standard)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5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Vergütung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(1)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INQA-Coaching (Kooperationsfeld 1): Gesamthonorar 14.400 € netto (12 Einheiten × 1.200 €). Bundesförderung 80 % = 11.520 €. Eigenanteil beauty lumis: 2.880 € netto + MwSt. Zahlbar nach Förderbestätigung in drei Raten.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(2)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GUS-Markterschließung (Kooperationsfeld 2): Projekthonorare nach gesondertem Angebot auf Basis Tagessatz PRO TEMPRE. Erfolgsbeteiligung (Success Fee) bei unterzeichnetem Exklusivdistributorvertrag: vereinbarte Pauschale je Land (Betrag nach separater Vereinbarung).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(3)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IP &amp; Innovation (Kooperationsfeld 3): IP-Kosten (DPMA, Marken) werden von PRO TEMPRE vorfinanziert und hälftig aufgeteilt, sofern beauty lumis als Co-Anmelder auftritt. F&amp;E-Konsortiums-Kosten nach Förderquoten; Eigenanteil je nach Förderstruktur.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(4)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Alle Honorare verstehen sich zzgl. gesetzlicher Umsatzsteuer. Abrechnung monatlich oder nach Projektabschluss; Zahlungsziel 14 Tage.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6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Laufzeit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(1)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Diese Vereinbarung gilt ab Unterzeichnung auf unbestimmte Zeit. Sie kann von jeder Partei mit 3-monatiger Frist zum Quartalsende schriftlich gekündigt werden.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(2)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Laufende Projekte werden nach Kündigung geordnet abgeschlossen. Entstehende Kosten werden nach Leistungsstand abgerechnet.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(3)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Das NDA (NDA-PT-BL-2026-001) läuft unabhängig von dieser Vereinbarung und bleibt nach Kündigung in Kraft.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7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Exklusivitaet und Wettbewerb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(1)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PRO TEMPRE sichert zu, im Rahmen des Kooperationsfeld 2 keine gleichartigen GUS-Erschließungsleistungen für direkte Wettbewerber von beauty lumis (insb. im Segment Pressotherapie-Anzüge, Laser-Skin-Treatment) zu erbringen, solange diese Vereinbarung besteht.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(2)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beauty lumis räumt PRO TEMPRE das exklusive Recht ein, als GUS-Markterschließungspartner für die in § 2 genannten Geräte und Marken in den Zielmärkten Ukraine, Kasachstan, Georgien und Aserbaidschan tätig zu werden.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(3)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Über die Ausgestaltung der Exklusivitätsbedingungen für Distributoren (vollexklusiv, gebietsexklusiv, produktexklusiv) wird nach Vorlage der PRO TEMPRE-Empfehlung gesondert entschieden.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8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Intellectual Property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(1)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Alle von PRO TEMPRE allein entwickelten Konzepte, Analysen, Schutzrechte und Materialien verbleiben im Eigentum von PRO TEMPRE. Dies gilt insbesondere für das bestehende Patent DE 10 2018 110 659.9.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(2)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Gemeinsam entwickelte Erfindungen (insb. FreqPress® und SmartPresso®) sind Gegenstand eines gesonderten IP-Agreements, das im Rahmen von Kooperationsfeld 3 verhandelt wird.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(3) </w:t>
      </w: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beauty lumis erwirbt keine Lizenz oder sonstigen Rechte an von PRO TEMPRE eingebrachten Vorerfindungen oder Hintergrundwissen ohne gesonderte schriftliche Vereinbarung.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63D6E"/>
          <w:sz w:val="24"/>
          <w:szCs w:val="24"/>
        </w:rPr>
        <w:t xml:space="preserve">§ 9  </w:t>
      </w:r>
      <w:r>
        <w:rPr>
          <w:rFonts w:ascii="Arial" w:cs="Arial" w:eastAsia="Arial" w:hAnsi="Arial"/>
          <w:b/>
          <w:bCs/>
          <w:color w:val="0F0E0C"/>
          <w:sz w:val="24"/>
          <w:szCs w:val="24"/>
        </w:rPr>
        <w:t xml:space="preserve">Sonstige Bestimmungen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(1) Salvatorische Klausel: Unwirksame Bestimmungen werden durch wirksame Regelungen ersetzt, die dem wirtschaftlichen Zweck am nächsten kommen.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(2) Schriftform: Änderungen bedürfen der Schriftform. Dies gilt auch für die Aufhebung des Schriftformerfordernisses.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(3) Vertraulichkeit: Es gilt ergänzend das NDA-PT-BL-2026-001 vom 14.04.2026.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(4) Anwendbares Recht: Deutsches Recht unter Ausschluss des UN-Kaufrechts (CISG).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>(5) Gerichtsstand: München, soweit gesetzlich zulässig.</w:t>
      </w:r>
    </w:p>
    <w:p>
      <w:pPr>
        <w:pBdr>
          <w:bottom w:val="single" w:color="163D6E" w:sz="5" w:space="1"/>
        </w:pBdr>
        <w:spacing w:after="120" w:before="16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160" w:before="80"/>
        <w:jc w:val="center"/>
      </w:pPr>
      <w:r>
        <w:rPr>
          <w:rFonts w:ascii="Arial" w:cs="Arial" w:eastAsia="Arial" w:hAnsi="Arial"/>
          <w:b/>
          <w:bCs/>
          <w:color w:val="163D6E"/>
          <w:sz w:val="22"/>
          <w:szCs w:val="22"/>
        </w:rPr>
        <w:t xml:space="preserve">— Unterschriften —</w:t>
      </w:r>
    </w:p>
    <w:p>
      <w:pPr>
        <w:spacing w:after="160" w:before="20"/>
      </w:pPr>
      <w:r>
        <w:rPr>
          <w:rFonts w:ascii="Arial" w:cs="Arial" w:eastAsia="Arial" w:hAnsi="Arial"/>
          <w:b w:val="false"/>
          <w:bCs w:val="false"/>
          <w:color w:val="5A5750"/>
          <w:sz w:val="20"/>
          <w:szCs w:val="20"/>
        </w:rPr>
        <w:t xml:space="preserve">Mit ihrer Unterschrift stimmen die Parteien dieser Kooperationsvereinbarung zu und bestätigen, diese gelesen und verstanden zu haben.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2"/>
                <w:szCs w:val="22"/>
              </w:rPr>
              <w:t xml:space="preserve"/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F0E0C"/>
                <w:sz w:val="20"/>
                <w:szCs w:val="20"/>
              </w:rPr>
              <w:t xml:space="preserve">Wolfram Löbnitz</w:t>
            </w:r>
          </w:p>
          <w:p>
            <w:pPr>
              <w:spacing w:before="20"/>
            </w:pPr>
            <w:r>
              <w:rPr>
                <w:rFonts w:ascii="Arial" w:cs="Arial" w:eastAsia="Arial" w:hAnsi="Arial"/>
                <w:b w:val="false"/>
                <w:bCs w:val="false"/>
                <w:color w:val="9A9690"/>
                <w:sz w:val="19"/>
                <w:szCs w:val="19"/>
              </w:rPr>
              <w:t xml:space="preserve">PRO TEMPRE – Wolfram Löbnitz · Fredersdorf/b. Berlin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2"/>
                <w:szCs w:val="22"/>
              </w:rP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0F0E0C"/>
                <w:sz w:val="22"/>
                <w:szCs w:val="22"/>
              </w:rPr>
              <w:t xml:space="preserve"/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F0E0C"/>
                <w:sz w:val="20"/>
                <w:szCs w:val="20"/>
              </w:rPr>
              <w:t xml:space="preserve">Angela Frommer</w:t>
            </w:r>
          </w:p>
          <w:p>
            <w:pPr>
              <w:spacing w:before="20"/>
            </w:pPr>
            <w:r>
              <w:rPr>
                <w:rFonts w:ascii="Arial" w:cs="Arial" w:eastAsia="Arial" w:hAnsi="Arial"/>
                <w:b w:val="false"/>
                <w:bCs w:val="false"/>
                <w:color w:val="9A9690"/>
                <w:sz w:val="19"/>
                <w:szCs w:val="19"/>
              </w:rPr>
              <w:t xml:space="preserve">Geschäftsführerin · beauty lumis GmbH · Oberschleißheim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40" w:before="60"/>
      </w:pPr>
      <w:r>
        <w:rPr>
          <w:rFonts w:ascii="Arial" w:cs="Arial" w:eastAsia="Arial" w:hAnsi="Arial"/>
          <w:b w:val="false"/>
          <w:bCs w:val="false"/>
          <w:color w:val="5A5750"/>
          <w:sz w:val="20"/>
          <w:szCs w:val="20"/>
        </w:rPr>
        <w:t xml:space="preserve">Ort, Datum: ____________________________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0F0E0C"/>
          <w:sz w:val="22"/>
          <w:szCs w:val="22"/>
        </w:rPr>
        <w:t xml:space="preserve"/>
      </w:r>
    </w:p>
    <w:p>
      <w:pPr>
        <w:spacing w:after="40" w:before="200"/>
        <w:jc w:val="center"/>
      </w:pPr>
      <w:r>
        <w:rPr>
          <w:rFonts w:ascii="Arial" w:cs="Arial" w:eastAsia="Arial" w:hAnsi="Arial"/>
          <w:b w:val="false"/>
          <w:bCs w:val="false"/>
          <w:color w:val="9A9690"/>
          <w:sz w:val="18"/>
          <w:szCs w:val="18"/>
        </w:rPr>
        <w:t xml:space="preserve">KV-PT-BL-2026-001  ·  15. April 2026  ·  2 Ausfertigungen</w:t>
      </w:r>
    </w:p>
    <w:sectPr>
      <w:pgSz w:w="11906" w:h="16838" w:orient="portrait"/>
      <w:pgMar w:top="1200" w:right="1300" w:bottom="12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2026-04-15T08:53:57.693Z</dcterms:created>
  <dcterms:modified xsi:type="dcterms:W3CDTF">2026-04-15T08:53:57.694Z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